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bookmarkStart w:id="0" w:name="_GoBack"/>
            <w:bookmarkEnd w:id="0"/>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r w:rsidR="00B16329">
              <w:rPr>
                <w:rFonts w:ascii="Arial" w:hAnsi="Arial" w:hint="cs"/>
                <w:b/>
                <w:bCs/>
                <w:sz w:val="26"/>
                <w:szCs w:val="26"/>
                <w:rtl/>
              </w:rPr>
              <w:t xml:space="preserve"> </w:t>
            </w:r>
            <w:r w:rsidR="00B16329">
              <w:rPr>
                <w:rFonts w:ascii="Arial" w:hAnsi="Arial"/>
                <w:b/>
                <w:bCs/>
                <w:sz w:val="26"/>
                <w:szCs w:val="26"/>
                <w:rtl/>
              </w:rPr>
              <w:t>–</w:t>
            </w:r>
            <w:r w:rsidR="00B16329">
              <w:rPr>
                <w:rFonts w:ascii="Arial" w:hAnsi="Arial" w:hint="cs"/>
                <w:b/>
                <w:bCs/>
                <w:sz w:val="26"/>
                <w:szCs w:val="26"/>
                <w:rtl/>
              </w:rPr>
              <w:t xml:space="preserve"> אב"ד</w:t>
            </w:r>
          </w:p>
          <w:p w:rsidR="00116E4D" w:rsidRPr="00116E4D" w:rsidRDefault="00116E4D" w:rsidP="001346CC">
            <w:pPr>
              <w:rPr>
                <w:rFonts w:ascii="Arial" w:hAnsi="Arial"/>
                <w:b/>
                <w:bCs/>
                <w:sz w:val="26"/>
                <w:szCs w:val="26"/>
                <w:rtl/>
              </w:rPr>
            </w:pPr>
            <w:r w:rsidRPr="00116E4D">
              <w:rPr>
                <w:rFonts w:ascii="Arial" w:hAnsi="Arial" w:hint="cs"/>
                <w:b/>
                <w:bCs/>
                <w:sz w:val="26"/>
                <w:szCs w:val="26"/>
                <w:rtl/>
              </w:rPr>
              <w:t>כב' השופטת עינת רביד</w:t>
            </w:r>
          </w:p>
          <w:p w:rsidR="00116E4D" w:rsidRPr="001346CC" w:rsidRDefault="00116E4D" w:rsidP="001346CC">
            <w:pPr>
              <w:rPr>
                <w:rFonts w:ascii="Arial" w:hAnsi="Arial" w:cs="FrankRuehl"/>
                <w:sz w:val="26"/>
                <w:szCs w:val="26"/>
                <w:highlight w:val="yellow"/>
              </w:rPr>
            </w:pPr>
            <w:r w:rsidRPr="00116E4D">
              <w:rPr>
                <w:rFonts w:ascii="Arial" w:hAnsi="Arial" w:hint="cs"/>
                <w:b/>
                <w:bCs/>
                <w:sz w:val="26"/>
                <w:szCs w:val="26"/>
                <w:rtl/>
              </w:rPr>
              <w:t>כב' השופט נפתלי שילה</w:t>
            </w: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9C6767" w:rsidRDefault="00B16329" w:rsidP="00B16329">
                <w:pPr>
                  <w:bidi w:val="0"/>
                  <w:jc w:val="right"/>
                  <w:rPr>
                    <w:rFonts w:ascii="Arial" w:hAnsi="Arial"/>
                    <w:b/>
                    <w:bCs/>
                    <w:noProof w:val="0"/>
                    <w:sz w:val="26"/>
                    <w:szCs w:val="26"/>
                    <w:rtl/>
                  </w:rPr>
                </w:pPr>
                <w:r>
                  <w:rPr>
                    <w:rFonts w:ascii="Arial" w:hAnsi="Arial" w:hint="cs"/>
                    <w:b/>
                    <w:bCs/>
                    <w:noProof w:val="0"/>
                    <w:sz w:val="26"/>
                    <w:szCs w:val="26"/>
                    <w:rtl/>
                  </w:rPr>
                  <w:t>המערערים</w:t>
                </w:r>
              </w:p>
            </w:sdtContent>
          </w:sdt>
        </w:tc>
        <w:tc>
          <w:tcPr>
            <w:tcW w:w="5571" w:type="dxa"/>
          </w:tcPr>
          <w:p w:rsidR="00694556" w:rsidRPr="001346CC" w:rsidRDefault="00694556">
            <w:pPr>
              <w:rPr>
                <w:rFonts w:ascii="Arial" w:hAnsi="Arial"/>
                <w:b/>
                <w:bCs/>
                <w:noProof w:val="0"/>
                <w:sz w:val="26"/>
                <w:szCs w:val="26"/>
                <w:rtl/>
              </w:rPr>
            </w:pPr>
          </w:p>
          <w:p w:rsidR="003506A5" w:rsidRDefault="000F5676" w:rsidP="00926D3D">
            <w:pPr>
              <w:rPr>
                <w:sz w:val="26"/>
                <w:szCs w:val="26"/>
                <w:rtl/>
              </w:rPr>
            </w:pPr>
            <w:sdt>
              <w:sdtPr>
                <w:rPr>
                  <w:sz w:val="26"/>
                  <w:szCs w:val="26"/>
                  <w:rtl/>
                </w:rPr>
                <w:alias w:val="1462"/>
                <w:tag w:val="1462"/>
                <w:id w:val="857781928"/>
                <w:text w:multiLine="1"/>
              </w:sdtPr>
              <w:sdtEndPr/>
              <w:sdtContent>
                <w:r w:rsidR="00FB7194">
                  <w:rPr>
                    <w:rFonts w:ascii="Arial" w:hAnsi="Arial"/>
                    <w:b/>
                    <w:bCs/>
                    <w:noProof w:val="0"/>
                    <w:sz w:val="26"/>
                    <w:szCs w:val="26"/>
                    <w:rtl/>
                  </w:rPr>
                  <w:t>1</w:t>
                </w:r>
              </w:sdtContent>
            </w:sdt>
            <w:r w:rsidR="00C22D93" w:rsidRPr="001346CC">
              <w:rPr>
                <w:b/>
                <w:bCs/>
                <w:noProof w:val="0"/>
                <w:sz w:val="26"/>
                <w:szCs w:val="26"/>
                <w:rtl/>
              </w:rPr>
              <w:t>.</w:t>
            </w:r>
            <w:sdt>
              <w:sdtPr>
                <w:rPr>
                  <w:sz w:val="26"/>
                  <w:szCs w:val="26"/>
                  <w:rtl/>
                </w:rPr>
                <w:alias w:val="1478"/>
                <w:tag w:val="1478"/>
                <w:id w:val="-199099103"/>
                <w:text w:multiLine="1"/>
              </w:sdtPr>
              <w:sdtEndPr/>
              <w:sdtContent>
                <w:r w:rsidR="00926D3D">
                  <w:rPr>
                    <w:rFonts w:ascii="Arial" w:hAnsi="Arial" w:hint="cs"/>
                    <w:b/>
                    <w:bCs/>
                    <w:noProof w:val="0"/>
                    <w:sz w:val="26"/>
                    <w:szCs w:val="26"/>
                    <w:rtl/>
                  </w:rPr>
                  <w:t>פלונית</w:t>
                </w:r>
              </w:sdtContent>
            </w:sdt>
          </w:p>
          <w:p w:rsidR="003506A5" w:rsidRDefault="000F5676" w:rsidP="00926D3D">
            <w:pPr>
              <w:rPr>
                <w:sz w:val="26"/>
                <w:szCs w:val="26"/>
                <w:rtl/>
              </w:rPr>
            </w:pPr>
            <w:sdt>
              <w:sdtPr>
                <w:rPr>
                  <w:sz w:val="26"/>
                  <w:szCs w:val="26"/>
                  <w:rtl/>
                </w:rPr>
                <w:alias w:val="1462"/>
                <w:tag w:val="1462"/>
                <w:id w:val="636456231"/>
                <w:text w:multiLine="1"/>
              </w:sdtPr>
              <w:sdtEndPr/>
              <w:sdtContent>
                <w:r w:rsidR="00FB7194">
                  <w:rPr>
                    <w:rFonts w:ascii="Arial" w:hAnsi="Arial"/>
                    <w:b/>
                    <w:bCs/>
                    <w:noProof w:val="0"/>
                    <w:sz w:val="26"/>
                    <w:szCs w:val="26"/>
                    <w:rtl/>
                  </w:rPr>
                  <w:t>2</w:t>
                </w:r>
              </w:sdtContent>
            </w:sdt>
            <w:r w:rsidR="00C22D93" w:rsidRPr="001346CC">
              <w:rPr>
                <w:b/>
                <w:bCs/>
                <w:noProof w:val="0"/>
                <w:sz w:val="26"/>
                <w:szCs w:val="26"/>
                <w:rtl/>
              </w:rPr>
              <w:t>.</w:t>
            </w:r>
            <w:sdt>
              <w:sdtPr>
                <w:rPr>
                  <w:sz w:val="26"/>
                  <w:szCs w:val="26"/>
                  <w:rtl/>
                </w:rPr>
                <w:alias w:val="1478"/>
                <w:tag w:val="1478"/>
                <w:id w:val="-186680433"/>
                <w:text w:multiLine="1"/>
              </w:sdtPr>
              <w:sdtEndPr/>
              <w:sdtContent>
                <w:r w:rsidR="00926D3D">
                  <w:rPr>
                    <w:rFonts w:ascii="Arial" w:hAnsi="Arial" w:hint="cs"/>
                    <w:b/>
                    <w:bCs/>
                    <w:noProof w:val="0"/>
                    <w:sz w:val="26"/>
                    <w:szCs w:val="26"/>
                    <w:rtl/>
                  </w:rPr>
                  <w:t>פלוני</w:t>
                </w:r>
              </w:sdtContent>
            </w:sdt>
          </w:p>
          <w:p w:rsidR="003506A5" w:rsidRDefault="000F5676" w:rsidP="00926D3D">
            <w:pPr>
              <w:rPr>
                <w:sz w:val="26"/>
                <w:szCs w:val="26"/>
                <w:rtl/>
              </w:rPr>
            </w:pPr>
            <w:sdt>
              <w:sdtPr>
                <w:rPr>
                  <w:sz w:val="26"/>
                  <w:szCs w:val="26"/>
                  <w:rtl/>
                </w:rPr>
                <w:alias w:val="1462"/>
                <w:tag w:val="1462"/>
                <w:id w:val="-1178276716"/>
                <w:text w:multiLine="1"/>
              </w:sdtPr>
              <w:sdtEndPr/>
              <w:sdtContent>
                <w:r w:rsidR="00FB7194">
                  <w:rPr>
                    <w:rFonts w:ascii="Arial" w:hAnsi="Arial"/>
                    <w:b/>
                    <w:bCs/>
                    <w:noProof w:val="0"/>
                    <w:sz w:val="26"/>
                    <w:szCs w:val="26"/>
                    <w:rtl/>
                  </w:rPr>
                  <w:t>3</w:t>
                </w:r>
              </w:sdtContent>
            </w:sdt>
            <w:r w:rsidR="00C22D93" w:rsidRPr="001346CC">
              <w:rPr>
                <w:b/>
                <w:bCs/>
                <w:noProof w:val="0"/>
                <w:sz w:val="26"/>
                <w:szCs w:val="26"/>
                <w:rtl/>
              </w:rPr>
              <w:t>.</w:t>
            </w:r>
            <w:sdt>
              <w:sdtPr>
                <w:rPr>
                  <w:sz w:val="26"/>
                  <w:szCs w:val="26"/>
                  <w:rtl/>
                </w:rPr>
                <w:alias w:val="1478"/>
                <w:tag w:val="1478"/>
                <w:id w:val="1408884282"/>
                <w:text w:multiLine="1"/>
              </w:sdtPr>
              <w:sdtEndPr/>
              <w:sdtContent>
                <w:r w:rsidR="00926D3D">
                  <w:rPr>
                    <w:rFonts w:ascii="Arial" w:hAnsi="Arial" w:hint="cs"/>
                    <w:b/>
                    <w:bCs/>
                    <w:noProof w:val="0"/>
                    <w:sz w:val="26"/>
                    <w:szCs w:val="26"/>
                    <w:rtl/>
                  </w:rPr>
                  <w:t>פלונית</w:t>
                </w:r>
              </w:sdtContent>
            </w:sdt>
          </w:p>
          <w:p w:rsidR="00694556" w:rsidRPr="001346CC" w:rsidRDefault="00135643">
            <w:pPr>
              <w:rPr>
                <w:b/>
                <w:bCs/>
                <w:noProof w:val="0"/>
                <w:sz w:val="26"/>
                <w:szCs w:val="26"/>
              </w:rPr>
            </w:pPr>
            <w:r>
              <w:rPr>
                <w:rFonts w:hint="cs"/>
                <w:sz w:val="26"/>
                <w:szCs w:val="26"/>
                <w:rtl/>
              </w:rPr>
              <w:t>ע"י ב"כ עו"ד משה יצחק הלוי</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0F5676" w:rsidP="00B16329">
            <w:pPr>
              <w:rPr>
                <w:rFonts w:ascii="Arial" w:hAnsi="Arial"/>
                <w:b/>
                <w:bCs/>
                <w:noProof w:val="0"/>
                <w:sz w:val="26"/>
                <w:szCs w:val="26"/>
              </w:rPr>
            </w:pPr>
            <w:sdt>
              <w:sdtPr>
                <w:rPr>
                  <w:sz w:val="26"/>
                  <w:szCs w:val="26"/>
                  <w:rtl/>
                </w:rPr>
                <w:alias w:val="1184"/>
                <w:tag w:val="1184"/>
                <w:id w:val="-310096844"/>
                <w:text w:multiLine="1"/>
              </w:sdtPr>
              <w:sdtEndPr/>
              <w:sdtContent>
                <w:r w:rsidR="00B16329">
                  <w:rPr>
                    <w:rFonts w:ascii="Arial" w:hAnsi="Arial" w:hint="cs"/>
                    <w:b/>
                    <w:bCs/>
                    <w:noProof w:val="0"/>
                    <w:sz w:val="26"/>
                    <w:szCs w:val="26"/>
                    <w:rtl/>
                  </w:rPr>
                  <w:t>המשיבה</w:t>
                </w:r>
              </w:sdtContent>
            </w:sdt>
          </w:p>
        </w:tc>
        <w:tc>
          <w:tcPr>
            <w:tcW w:w="5571" w:type="dxa"/>
          </w:tcPr>
          <w:p w:rsidR="00694556" w:rsidRPr="001346CC" w:rsidRDefault="00694556">
            <w:pPr>
              <w:rPr>
                <w:rFonts w:ascii="Arial" w:hAnsi="Arial"/>
                <w:b/>
                <w:bCs/>
                <w:noProof w:val="0"/>
                <w:sz w:val="26"/>
                <w:szCs w:val="26"/>
                <w:rtl/>
              </w:rPr>
            </w:pPr>
          </w:p>
          <w:p w:rsidR="003506A5" w:rsidRDefault="000F5676" w:rsidP="00926D3D">
            <w:pPr>
              <w:rPr>
                <w:sz w:val="26"/>
                <w:szCs w:val="26"/>
                <w:rtl/>
              </w:rPr>
            </w:pPr>
            <w:sdt>
              <w:sdtPr>
                <w:rPr>
                  <w:sz w:val="26"/>
                  <w:szCs w:val="26"/>
                  <w:rtl/>
                </w:rPr>
                <w:alias w:val="1486"/>
                <w:tag w:val="1486"/>
                <w:id w:val="960070400"/>
                <w:text w:multiLine="1"/>
              </w:sdtPr>
              <w:sdtEndPr/>
              <w:sdtContent>
                <w:r w:rsidR="00926D3D">
                  <w:rPr>
                    <w:rFonts w:ascii="Arial" w:hAnsi="Arial" w:hint="cs"/>
                    <w:b/>
                    <w:bCs/>
                    <w:noProof w:val="0"/>
                    <w:sz w:val="26"/>
                    <w:szCs w:val="26"/>
                    <w:rtl/>
                  </w:rPr>
                  <w:t>אלמונית</w:t>
                </w:r>
              </w:sdtContent>
            </w:sdt>
          </w:p>
          <w:p w:rsidR="00694556" w:rsidRPr="001346CC" w:rsidRDefault="00135643">
            <w:pPr>
              <w:rPr>
                <w:b/>
                <w:bCs/>
                <w:noProof w:val="0"/>
                <w:sz w:val="26"/>
                <w:szCs w:val="26"/>
                <w:rtl/>
              </w:rPr>
            </w:pPr>
            <w:r>
              <w:rPr>
                <w:rFonts w:hint="cs"/>
                <w:sz w:val="26"/>
                <w:szCs w:val="26"/>
                <w:rtl/>
              </w:rPr>
              <w:t>ע"י ב"כ עו"ד חיים שטנגר</w:t>
            </w:r>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rsidP="00F77AB0">
            <w:pPr>
              <w:bidi w:val="0"/>
              <w:spacing w:after="24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F77AB0" w:rsidRPr="00F77AB0" w:rsidRDefault="00F77AB0" w:rsidP="00F77AB0">
      <w:pPr>
        <w:spacing w:after="240" w:line="360" w:lineRule="auto"/>
        <w:jc w:val="both"/>
        <w:rPr>
          <w:rFonts w:ascii="Arial" w:hAnsi="Arial"/>
          <w:b/>
          <w:bCs/>
          <w:noProof w:val="0"/>
          <w:u w:val="single"/>
        </w:rPr>
      </w:pPr>
      <w:r w:rsidRPr="00F77AB0">
        <w:rPr>
          <w:rFonts w:ascii="Arial" w:hAnsi="Arial"/>
          <w:b/>
          <w:bCs/>
          <w:noProof w:val="0"/>
          <w:u w:val="single"/>
          <w:rtl/>
        </w:rPr>
        <w:t>השופט שאול שוחט, סגן נשיא, אב"ד</w:t>
      </w:r>
    </w:p>
    <w:p w:rsidR="00F77AB0" w:rsidRPr="00F77AB0" w:rsidRDefault="00F77AB0" w:rsidP="00B16329">
      <w:pPr>
        <w:numPr>
          <w:ilvl w:val="0"/>
          <w:numId w:val="1"/>
        </w:numPr>
        <w:spacing w:after="240" w:line="360" w:lineRule="auto"/>
        <w:ind w:left="425"/>
        <w:jc w:val="both"/>
        <w:rPr>
          <w:rFonts w:ascii="Arial" w:hAnsi="Arial"/>
          <w:noProof w:val="0"/>
          <w:rtl/>
        </w:rPr>
      </w:pPr>
      <w:r w:rsidRPr="00F77AB0">
        <w:rPr>
          <w:rFonts w:ascii="Arial" w:hAnsi="Arial"/>
          <w:noProof w:val="0"/>
          <w:rtl/>
        </w:rPr>
        <w:t>ערעור על פסק דינו של בית המשפט לענייני משפחה במחוז תל אביב יפו (כב' הש' ליאור ברינגר בת"ע 55080-02-22 ו-ת"ע 55086-02-22), מיום 22.8.22, בו נדחתה התנגדות המערערים למתן צו ירושה אחר עיזבון אביהם המנוח, בעלה של המשיבה, וניתן צו ירושה לפיו יורשת האחרונה, מחצית מעיזבונו.</w:t>
      </w:r>
    </w:p>
    <w:p w:rsidR="00F77AB0" w:rsidRPr="00F77AB0" w:rsidRDefault="00F77AB0" w:rsidP="00B16329">
      <w:pPr>
        <w:numPr>
          <w:ilvl w:val="0"/>
          <w:numId w:val="1"/>
        </w:numPr>
        <w:spacing w:after="240" w:line="360" w:lineRule="auto"/>
        <w:ind w:left="425"/>
        <w:jc w:val="both"/>
        <w:rPr>
          <w:rFonts w:ascii="Arial" w:hAnsi="Arial"/>
          <w:noProof w:val="0"/>
          <w:rtl/>
        </w:rPr>
      </w:pPr>
      <w:r w:rsidRPr="00F77AB0">
        <w:rPr>
          <w:rFonts w:ascii="Arial" w:hAnsi="Arial"/>
          <w:noProof w:val="0"/>
          <w:rtl/>
        </w:rPr>
        <w:t>מכאן הערעור שלפנינו.</w:t>
      </w:r>
    </w:p>
    <w:p w:rsidR="00F77AB0" w:rsidRDefault="00F77AB0" w:rsidP="00F77AB0">
      <w:pPr>
        <w:numPr>
          <w:ilvl w:val="0"/>
          <w:numId w:val="1"/>
        </w:numPr>
        <w:spacing w:after="240" w:line="360" w:lineRule="auto"/>
        <w:ind w:left="425"/>
        <w:jc w:val="both"/>
        <w:rPr>
          <w:rFonts w:ascii="Arial" w:hAnsi="Arial"/>
          <w:noProof w:val="0"/>
        </w:rPr>
      </w:pPr>
      <w:r w:rsidRPr="00F77AB0">
        <w:rPr>
          <w:rFonts w:ascii="Arial" w:hAnsi="Arial"/>
          <w:noProof w:val="0"/>
          <w:rtl/>
        </w:rPr>
        <w:t>בפי המערערים שתי טענות. שתי הטענות נסמכות על הסכם ממון שנחתם בין המנוח לבין המשיבה, לפני נישואיהם, בפני נוטריון, ביום 30.11.21.</w:t>
      </w:r>
    </w:p>
    <w:p w:rsidR="00F77AB0" w:rsidRDefault="00F77AB0" w:rsidP="00F77AB0">
      <w:pPr>
        <w:spacing w:after="240" w:line="360" w:lineRule="auto"/>
        <w:ind w:left="65"/>
        <w:jc w:val="both"/>
        <w:rPr>
          <w:rFonts w:ascii="Arial" w:hAnsi="Arial"/>
          <w:noProof w:val="0"/>
          <w:rtl/>
        </w:rPr>
      </w:pPr>
      <w:r w:rsidRPr="00F77AB0">
        <w:rPr>
          <w:rFonts w:ascii="Arial" w:hAnsi="Arial"/>
          <w:noProof w:val="0"/>
          <w:rtl/>
        </w:rPr>
        <w:t xml:space="preserve">האחת – הסכם הממון כולל תניה ירושתית מדירה שיש בה כדי לגבור על הוראות הירושה על פי דין שבחוק הירושה ולשלול מהמשיבה את זכותה לרשת. </w:t>
      </w:r>
    </w:p>
    <w:p w:rsidR="00F77AB0" w:rsidRPr="00F77AB0" w:rsidRDefault="00F77AB0" w:rsidP="00F77AB0">
      <w:pPr>
        <w:spacing w:after="240" w:line="360" w:lineRule="auto"/>
        <w:ind w:left="65"/>
        <w:jc w:val="both"/>
        <w:rPr>
          <w:rFonts w:ascii="Arial" w:hAnsi="Arial"/>
          <w:noProof w:val="0"/>
          <w:rtl/>
        </w:rPr>
      </w:pPr>
      <w:r w:rsidRPr="00F77AB0">
        <w:rPr>
          <w:rFonts w:ascii="Arial" w:hAnsi="Arial"/>
          <w:noProof w:val="0"/>
          <w:rtl/>
        </w:rPr>
        <w:t xml:space="preserve">השנייה – יש לראות בהסכם הממון, על הוראותיו, צוואה בפני רשות ו/או צוואה בכתב. </w:t>
      </w:r>
    </w:p>
    <w:p w:rsidR="00F77AB0" w:rsidRPr="00F77AB0" w:rsidRDefault="00F77AB0" w:rsidP="00F77AB0">
      <w:pPr>
        <w:numPr>
          <w:ilvl w:val="0"/>
          <w:numId w:val="1"/>
        </w:numPr>
        <w:spacing w:after="240" w:line="360" w:lineRule="auto"/>
        <w:ind w:left="425"/>
        <w:jc w:val="both"/>
        <w:rPr>
          <w:rFonts w:ascii="Arial" w:hAnsi="Arial"/>
          <w:noProof w:val="0"/>
          <w:rtl/>
        </w:rPr>
      </w:pPr>
      <w:r w:rsidRPr="00F77AB0">
        <w:rPr>
          <w:rFonts w:ascii="Arial" w:hAnsi="Arial"/>
          <w:noProof w:val="0"/>
          <w:rtl/>
        </w:rPr>
        <w:t>דין הערעור להידחות.</w:t>
      </w:r>
    </w:p>
    <w:p w:rsidR="00F77AB0" w:rsidRPr="00F77AB0" w:rsidRDefault="00F77AB0" w:rsidP="00135643">
      <w:pPr>
        <w:numPr>
          <w:ilvl w:val="0"/>
          <w:numId w:val="1"/>
        </w:numPr>
        <w:spacing w:after="240" w:line="360" w:lineRule="auto"/>
        <w:ind w:left="425"/>
        <w:jc w:val="both"/>
        <w:rPr>
          <w:rFonts w:ascii="Arial" w:hAnsi="Arial"/>
          <w:noProof w:val="0"/>
        </w:rPr>
      </w:pPr>
      <w:r w:rsidRPr="00F77AB0">
        <w:rPr>
          <w:rFonts w:ascii="Arial" w:hAnsi="Arial"/>
          <w:noProof w:val="0"/>
          <w:rtl/>
        </w:rPr>
        <w:t xml:space="preserve">ניתן להבין את מורת רוחם של המערערים מהתוצאה. אשת אביהם, לו נישאה 25 ימים בלבד לפני מותו, יורשת מחצית מעיזבונו, בוודאי בנסיבות המתוארות בכתב הערעור מנקודת המבט שלהם. </w:t>
      </w:r>
    </w:p>
    <w:p w:rsidR="00F77AB0" w:rsidRPr="00F77AB0" w:rsidRDefault="00F77AB0" w:rsidP="00135643">
      <w:pPr>
        <w:spacing w:after="240" w:line="360" w:lineRule="auto"/>
        <w:ind w:left="425"/>
        <w:jc w:val="both"/>
        <w:rPr>
          <w:rFonts w:ascii="Arial" w:hAnsi="Arial"/>
          <w:noProof w:val="0"/>
        </w:rPr>
      </w:pPr>
      <w:r w:rsidRPr="00F77AB0">
        <w:rPr>
          <w:rFonts w:ascii="Arial" w:hAnsi="Arial"/>
          <w:noProof w:val="0"/>
          <w:rtl/>
        </w:rPr>
        <w:t>ברם, התוצאה מתחייבת מהוראות הדין.</w:t>
      </w:r>
    </w:p>
    <w:p w:rsidR="00F77AB0" w:rsidRPr="00F77AB0" w:rsidRDefault="00F77AB0" w:rsidP="00F77AB0">
      <w:pPr>
        <w:numPr>
          <w:ilvl w:val="0"/>
          <w:numId w:val="1"/>
        </w:numPr>
        <w:spacing w:after="240" w:line="360" w:lineRule="auto"/>
        <w:ind w:left="425"/>
        <w:jc w:val="both"/>
        <w:rPr>
          <w:rFonts w:ascii="Arial" w:hAnsi="Arial"/>
          <w:noProof w:val="0"/>
        </w:rPr>
      </w:pPr>
      <w:r w:rsidRPr="00F77AB0">
        <w:rPr>
          <w:rFonts w:ascii="Arial" w:hAnsi="Arial"/>
          <w:noProof w:val="0"/>
          <w:rtl/>
        </w:rPr>
        <w:lastRenderedPageBreak/>
        <w:t>על מנת להידרש בכלל לטענה כי הסכם ממון גובר על הוראות הדין ו/או לטענה כי יש לראות בהסכם ממון צוואה יש צורך שתימצא בו הוראה ירושתית ברורה. הימצאות הוראה שכזו היא בבחינת תנאי שבלעדיו אין.</w:t>
      </w:r>
    </w:p>
    <w:p w:rsidR="00F77AB0" w:rsidRPr="00F77AB0" w:rsidRDefault="00F77AB0" w:rsidP="00F77AB0">
      <w:pPr>
        <w:numPr>
          <w:ilvl w:val="0"/>
          <w:numId w:val="1"/>
        </w:numPr>
        <w:spacing w:after="240" w:line="360" w:lineRule="auto"/>
        <w:ind w:left="425"/>
        <w:jc w:val="both"/>
        <w:rPr>
          <w:rFonts w:ascii="Arial" w:hAnsi="Arial"/>
          <w:noProof w:val="0"/>
        </w:rPr>
      </w:pPr>
      <w:r w:rsidRPr="00F77AB0">
        <w:rPr>
          <w:rFonts w:ascii="Arial" w:hAnsi="Arial"/>
          <w:noProof w:val="0"/>
          <w:rtl/>
        </w:rPr>
        <w:t xml:space="preserve">על כך שיש צורך בהוראה ירושתית במסמך שמתקרא צוואה, על מנת שיוכר כצוואה, אין צורך להרחיב את הדיבור. הוראה כזו יכול שתהיה הוראה מנחילה ויש שיאמרו גם הוראה מדירה (ראו </w:t>
      </w:r>
      <w:r w:rsidRPr="00F77AB0">
        <w:rPr>
          <w:rFonts w:ascii="Arial" w:hAnsi="Arial"/>
          <w:b/>
          <w:bCs/>
          <w:noProof w:val="0"/>
          <w:rtl/>
        </w:rPr>
        <w:t>שאול שוחט</w:t>
      </w:r>
      <w:r w:rsidRPr="00F77AB0">
        <w:rPr>
          <w:rFonts w:ascii="Arial" w:hAnsi="Arial"/>
          <w:noProof w:val="0"/>
          <w:rtl/>
        </w:rPr>
        <w:t xml:space="preserve"> "פגמים בצוואות" מהדורה שלישית – 2016 עמ' 23-11 להלן: </w:t>
      </w:r>
      <w:r w:rsidRPr="00F77AB0">
        <w:rPr>
          <w:rFonts w:ascii="Arial" w:hAnsi="Arial"/>
          <w:b/>
          <w:bCs/>
          <w:noProof w:val="0"/>
          <w:rtl/>
        </w:rPr>
        <w:t>שוחט</w:t>
      </w:r>
      <w:r w:rsidRPr="00F77AB0">
        <w:rPr>
          <w:rFonts w:ascii="Arial" w:hAnsi="Arial"/>
          <w:noProof w:val="0"/>
          <w:rtl/>
        </w:rPr>
        <w:t xml:space="preserve">)). כך גם לגבי הסכם ממון שמתיימר לגבור על הוראות הירושה על פי דין (עמ"ש 11700-12-16 (תא) </w:t>
      </w:r>
      <w:r w:rsidRPr="00F77AB0">
        <w:rPr>
          <w:rFonts w:ascii="Arial" w:hAnsi="Arial"/>
          <w:b/>
          <w:bCs/>
          <w:noProof w:val="0"/>
          <w:rtl/>
        </w:rPr>
        <w:t xml:space="preserve">ש'א' ואח' נ' ש'ט' </w:t>
      </w:r>
      <w:r w:rsidRPr="00F77AB0">
        <w:rPr>
          <w:rFonts w:ascii="Arial" w:hAnsi="Arial"/>
          <w:noProof w:val="0"/>
          <w:rtl/>
        </w:rPr>
        <w:t xml:space="preserve">; 7.10.18 להלן: </w:t>
      </w:r>
      <w:r w:rsidRPr="00F77AB0">
        <w:rPr>
          <w:rFonts w:ascii="Arial" w:hAnsi="Arial"/>
          <w:b/>
          <w:bCs/>
          <w:noProof w:val="0"/>
          <w:rtl/>
        </w:rPr>
        <w:t>פרשת ש'א'</w:t>
      </w:r>
      <w:r w:rsidRPr="00F77AB0">
        <w:rPr>
          <w:rFonts w:ascii="Arial" w:hAnsi="Arial"/>
          <w:noProof w:val="0"/>
          <w:rtl/>
        </w:rPr>
        <w:t>)).</w:t>
      </w:r>
    </w:p>
    <w:p w:rsidR="00F77AB0" w:rsidRPr="00F77AB0" w:rsidRDefault="00F77AB0" w:rsidP="00F77AB0">
      <w:pPr>
        <w:numPr>
          <w:ilvl w:val="0"/>
          <w:numId w:val="1"/>
        </w:numPr>
        <w:spacing w:after="240" w:line="360" w:lineRule="auto"/>
        <w:ind w:left="425"/>
        <w:jc w:val="both"/>
        <w:rPr>
          <w:rFonts w:ascii="Arial" w:hAnsi="Arial"/>
          <w:noProof w:val="0"/>
        </w:rPr>
      </w:pPr>
      <w:r w:rsidRPr="00F77AB0">
        <w:rPr>
          <w:rFonts w:ascii="Arial" w:hAnsi="Arial"/>
          <w:noProof w:val="0"/>
          <w:rtl/>
        </w:rPr>
        <w:t>אין הוראה כזאת בהסכם הממון שלפנינו.</w:t>
      </w:r>
    </w:p>
    <w:p w:rsidR="00F77AB0" w:rsidRPr="00F77AB0" w:rsidRDefault="00F77AB0" w:rsidP="00F77AB0">
      <w:pPr>
        <w:numPr>
          <w:ilvl w:val="0"/>
          <w:numId w:val="1"/>
        </w:numPr>
        <w:spacing w:after="240" w:line="360" w:lineRule="auto"/>
        <w:ind w:left="425"/>
        <w:jc w:val="both"/>
        <w:rPr>
          <w:rFonts w:ascii="Arial" w:hAnsi="Arial"/>
          <w:noProof w:val="0"/>
        </w:rPr>
      </w:pPr>
      <w:r w:rsidRPr="00F77AB0">
        <w:rPr>
          <w:rFonts w:ascii="Arial" w:hAnsi="Arial"/>
          <w:noProof w:val="0"/>
          <w:rtl/>
        </w:rPr>
        <w:t>המערערים מפנים להוראות ס' 5, 8.4, 22 להסכם הממון ומבקשים לראות בכל אחת מהן ובכולן יחד הוראה ירושתית.</w:t>
      </w:r>
    </w:p>
    <w:p w:rsidR="00F77AB0" w:rsidRPr="00F77AB0" w:rsidRDefault="00F77AB0" w:rsidP="00F77AB0">
      <w:pPr>
        <w:numPr>
          <w:ilvl w:val="0"/>
          <w:numId w:val="1"/>
        </w:numPr>
        <w:spacing w:after="240" w:line="360" w:lineRule="auto"/>
        <w:ind w:left="425"/>
        <w:jc w:val="both"/>
        <w:rPr>
          <w:rFonts w:ascii="Arial" w:hAnsi="Arial"/>
          <w:noProof w:val="0"/>
        </w:rPr>
      </w:pPr>
      <w:r>
        <w:rPr>
          <w:rFonts w:ascii="Arial" w:hAnsi="Arial"/>
          <w:noProof w:val="0"/>
          <w:rtl/>
        </w:rPr>
        <w:t>להלן ההוראות:</w:t>
      </w:r>
    </w:p>
    <w:p w:rsidR="00F77AB0" w:rsidRPr="00F77AB0" w:rsidRDefault="00F77AB0" w:rsidP="00F77AB0">
      <w:pPr>
        <w:spacing w:line="360" w:lineRule="auto"/>
        <w:jc w:val="both"/>
        <w:rPr>
          <w:rFonts w:ascii="Arial" w:hAnsi="Arial"/>
          <w:noProof w:val="0"/>
          <w:rtl/>
        </w:rPr>
      </w:pPr>
      <w:r w:rsidRPr="00F77AB0">
        <w:rPr>
          <w:rFonts w:ascii="Arial" w:hAnsi="Arial"/>
          <w:noProof w:val="0"/>
          <w:rtl/>
        </w:rPr>
        <w:t>הוראת ס' 5 – "</w:t>
      </w:r>
      <w:r w:rsidRPr="00F77AB0">
        <w:rPr>
          <w:rFonts w:ascii="Arial" w:hAnsi="Arial"/>
          <w:b/>
          <w:bCs/>
          <w:noProof w:val="0"/>
          <w:rtl/>
        </w:rPr>
        <w:t>הוראות הסכם זה נועדו למנוע מחלוקת, הן במהלך החיים המשותפים של הצדדים והן במקרה של סיומם של החיים המשותפים, מכל סיבה שהיא</w:t>
      </w:r>
      <w:r w:rsidRPr="00F77AB0">
        <w:rPr>
          <w:rFonts w:ascii="Arial" w:hAnsi="Arial"/>
          <w:noProof w:val="0"/>
          <w:rtl/>
        </w:rPr>
        <w:t>".</w:t>
      </w:r>
    </w:p>
    <w:p w:rsidR="00F77AB0" w:rsidRPr="00F77AB0" w:rsidRDefault="00F77AB0" w:rsidP="00F77AB0">
      <w:pPr>
        <w:spacing w:line="360" w:lineRule="auto"/>
        <w:jc w:val="both"/>
        <w:rPr>
          <w:rFonts w:ascii="Arial" w:hAnsi="Arial"/>
          <w:noProof w:val="0"/>
          <w:rtl/>
        </w:rPr>
      </w:pPr>
    </w:p>
    <w:p w:rsidR="00F77AB0" w:rsidRPr="00F77AB0" w:rsidRDefault="00F77AB0" w:rsidP="00F77AB0">
      <w:pPr>
        <w:spacing w:line="360" w:lineRule="auto"/>
        <w:jc w:val="both"/>
        <w:rPr>
          <w:rFonts w:ascii="Arial" w:hAnsi="Arial"/>
          <w:noProof w:val="0"/>
          <w:rtl/>
        </w:rPr>
      </w:pPr>
      <w:r w:rsidRPr="00F77AB0">
        <w:rPr>
          <w:rFonts w:ascii="Arial" w:hAnsi="Arial"/>
          <w:noProof w:val="0"/>
          <w:rtl/>
        </w:rPr>
        <w:t xml:space="preserve">הוראת סעיף 8 תובא במלואה, כולל הוראת ס' 8.4 – </w:t>
      </w:r>
    </w:p>
    <w:p w:rsidR="00F77AB0" w:rsidRPr="00F77AB0" w:rsidRDefault="00F77AB0" w:rsidP="00F77AB0">
      <w:pPr>
        <w:spacing w:line="360" w:lineRule="auto"/>
        <w:jc w:val="both"/>
        <w:rPr>
          <w:rFonts w:ascii="Arial" w:hAnsi="Arial"/>
          <w:b/>
          <w:bCs/>
          <w:noProof w:val="0"/>
          <w:rtl/>
        </w:rPr>
      </w:pPr>
      <w:r w:rsidRPr="00F77AB0">
        <w:rPr>
          <w:rFonts w:ascii="Arial" w:hAnsi="Arial"/>
          <w:noProof w:val="0"/>
          <w:rtl/>
        </w:rPr>
        <w:t>"8</w:t>
      </w:r>
      <w:r w:rsidRPr="00F77AB0">
        <w:rPr>
          <w:rFonts w:ascii="Arial" w:hAnsi="Arial"/>
          <w:b/>
          <w:bCs/>
          <w:noProof w:val="0"/>
          <w:rtl/>
        </w:rPr>
        <w:t>.  בכל הנוגע לנכסים ולזכויות של כל אחד מהצדדים, ובכלל זאת הנכסים והזכויות המפורטים בסעיף 7 לעיל, תחולנה ההוראות הבאות:</w:t>
      </w:r>
    </w:p>
    <w:p w:rsidR="00F77AB0" w:rsidRPr="00F77AB0" w:rsidRDefault="00F77AB0" w:rsidP="00F77AB0">
      <w:pPr>
        <w:numPr>
          <w:ilvl w:val="1"/>
          <w:numId w:val="2"/>
        </w:numPr>
        <w:spacing w:line="360" w:lineRule="auto"/>
        <w:ind w:left="1134"/>
        <w:jc w:val="both"/>
        <w:rPr>
          <w:rFonts w:ascii="Arial" w:hAnsi="Arial"/>
          <w:b/>
          <w:bCs/>
          <w:noProof w:val="0"/>
          <w:rtl/>
        </w:rPr>
      </w:pPr>
      <w:r w:rsidRPr="00F77AB0">
        <w:rPr>
          <w:rFonts w:ascii="Arial" w:hAnsi="Arial"/>
          <w:b/>
          <w:bCs/>
          <w:noProof w:val="0"/>
          <w:rtl/>
        </w:rPr>
        <w:t>כל צד יהיה רשאי לעשות כל פעולה ו/או עסקה בכל אחד מהנכסים ו/או הזכויות הנמצאים בבעלותו הבלעדית, ובכלל זאת על דרך של מכירה, העברה, הענקה, שעבוד, השכרה, מסירה ו/או המחאה, בין בתמורה ובין שלא בתמורה, בין לצד ג' כלשהו ובין למי מילדיהם של הצדדים, ללא צורך בהסכמת הצד השני.</w:t>
      </w:r>
    </w:p>
    <w:p w:rsidR="00F77AB0" w:rsidRPr="00F77AB0" w:rsidRDefault="00F77AB0" w:rsidP="00F77AB0">
      <w:pPr>
        <w:numPr>
          <w:ilvl w:val="1"/>
          <w:numId w:val="2"/>
        </w:numPr>
        <w:spacing w:line="360" w:lineRule="auto"/>
        <w:ind w:left="1134"/>
        <w:jc w:val="both"/>
        <w:rPr>
          <w:rFonts w:ascii="Arial" w:hAnsi="Arial"/>
          <w:b/>
          <w:bCs/>
          <w:noProof w:val="0"/>
          <w:rtl/>
        </w:rPr>
      </w:pPr>
      <w:r w:rsidRPr="00F77AB0">
        <w:rPr>
          <w:rFonts w:ascii="Arial" w:hAnsi="Arial"/>
          <w:b/>
          <w:bCs/>
          <w:noProof w:val="0"/>
          <w:rtl/>
        </w:rPr>
        <w:t>האמור בסעיף זה לגבי נכסים ו/או זכויות הצדדים יחול גם על כל נכס ו/או זכויות שיתקבלו או שיבואו במקומם של נכסים ו/או זכויות אלו, על פירותיהם ועל כל נכס ו/או זכות הנובעים ו/או קשורים לנכסים האמורים. התמורה שתתקבל מכל פעולה בנכס מהנכסים תהיה שייכת לצד שבבעלותו הנכס אשר בו  בוצעה הפעולה. בעלות בחשבון בנק פירושה בעלות בכל הזכויות הנלוות לחשבון ובכלל זאת כספי עו"ש, חסכונות, השקעות, תיק ניירות ערך, קופות גמל, פיקדונות וכו'.</w:t>
      </w:r>
    </w:p>
    <w:p w:rsidR="00F77AB0" w:rsidRPr="00F77AB0" w:rsidRDefault="00F77AB0" w:rsidP="00F77AB0">
      <w:pPr>
        <w:numPr>
          <w:ilvl w:val="1"/>
          <w:numId w:val="2"/>
        </w:numPr>
        <w:spacing w:line="360" w:lineRule="auto"/>
        <w:ind w:left="1134"/>
        <w:jc w:val="both"/>
        <w:rPr>
          <w:rFonts w:ascii="Arial" w:hAnsi="Arial"/>
          <w:b/>
          <w:bCs/>
          <w:noProof w:val="0"/>
        </w:rPr>
      </w:pPr>
      <w:r w:rsidRPr="00F77AB0">
        <w:rPr>
          <w:rFonts w:ascii="Arial" w:hAnsi="Arial"/>
          <w:b/>
          <w:bCs/>
          <w:noProof w:val="0"/>
          <w:rtl/>
        </w:rPr>
        <w:t>כל החובות וההתחייבויות שנוצרו ו/או נצברו על ידי אחד מהצדדים, בארץ או בחו"ל, יוותרו בבעלותו המלאה והבלעדית של אותו צד, והוא יהיה האחראי הבלעדי בגין אותם חובות והתחייבויות אמורים.</w:t>
      </w:r>
    </w:p>
    <w:p w:rsidR="00F77AB0" w:rsidRPr="00F77AB0" w:rsidRDefault="00F77AB0" w:rsidP="00F77AB0">
      <w:pPr>
        <w:numPr>
          <w:ilvl w:val="1"/>
          <w:numId w:val="2"/>
        </w:numPr>
        <w:spacing w:line="360" w:lineRule="auto"/>
        <w:ind w:left="1134"/>
        <w:jc w:val="both"/>
        <w:rPr>
          <w:rFonts w:ascii="Arial" w:hAnsi="Arial"/>
          <w:b/>
          <w:bCs/>
          <w:noProof w:val="0"/>
        </w:rPr>
      </w:pPr>
      <w:r w:rsidRPr="00F77AB0">
        <w:rPr>
          <w:rFonts w:ascii="Arial" w:hAnsi="Arial"/>
          <w:b/>
          <w:bCs/>
          <w:noProof w:val="0"/>
          <w:rtl/>
        </w:rPr>
        <w:lastRenderedPageBreak/>
        <w:t>הוראות סעיף זה יחולו בין הצדדים לאורך חייהם המשותפים ואף במקרה של סיומם של החיים המשותפים, מכל סיבה שהיא.</w:t>
      </w:r>
    </w:p>
    <w:p w:rsidR="00F77AB0" w:rsidRPr="00F77AB0" w:rsidRDefault="00F77AB0" w:rsidP="00F77AB0">
      <w:pPr>
        <w:spacing w:line="360" w:lineRule="auto"/>
        <w:jc w:val="both"/>
        <w:rPr>
          <w:rFonts w:ascii="Arial" w:hAnsi="Arial"/>
          <w:b/>
          <w:bCs/>
          <w:noProof w:val="0"/>
        </w:rPr>
      </w:pPr>
    </w:p>
    <w:p w:rsidR="00F77AB0" w:rsidRPr="00F77AB0" w:rsidRDefault="00F77AB0" w:rsidP="00F77AB0">
      <w:pPr>
        <w:spacing w:line="360" w:lineRule="auto"/>
        <w:jc w:val="both"/>
        <w:rPr>
          <w:rFonts w:ascii="Arial" w:hAnsi="Arial"/>
          <w:noProof w:val="0"/>
        </w:rPr>
      </w:pPr>
      <w:r w:rsidRPr="00F77AB0">
        <w:rPr>
          <w:rFonts w:ascii="Arial" w:hAnsi="Arial"/>
          <w:noProof w:val="0"/>
          <w:rtl/>
        </w:rPr>
        <w:t xml:space="preserve">הוראת סעיף 22 – </w:t>
      </w:r>
      <w:r w:rsidRPr="00F77AB0">
        <w:rPr>
          <w:rFonts w:ascii="Arial" w:hAnsi="Arial"/>
          <w:b/>
          <w:bCs/>
          <w:noProof w:val="0"/>
          <w:rtl/>
        </w:rPr>
        <w:t>"כל צד רשאי, מכל סיבה שהיא, להודיע למשנהו על רצונו להיפרד ולסיים את החיים המשותפים, ובמקרה והצדדים נישאו זל"ז – גירושין. פרידה תחול רק על ידי הודעת פירוד בכתב או במקרה מוות.....".</w:t>
      </w:r>
    </w:p>
    <w:p w:rsidR="00F77AB0" w:rsidRPr="00F77AB0" w:rsidRDefault="00F77AB0" w:rsidP="00F77AB0">
      <w:pPr>
        <w:spacing w:line="360" w:lineRule="auto"/>
        <w:jc w:val="both"/>
        <w:rPr>
          <w:rFonts w:ascii="Arial" w:hAnsi="Arial"/>
          <w:noProof w:val="0"/>
          <w:rtl/>
        </w:rPr>
      </w:pPr>
    </w:p>
    <w:p w:rsidR="00F77AB0" w:rsidRDefault="00F77AB0" w:rsidP="00F77AB0">
      <w:pPr>
        <w:numPr>
          <w:ilvl w:val="0"/>
          <w:numId w:val="1"/>
        </w:numPr>
        <w:spacing w:after="240" w:line="360" w:lineRule="auto"/>
        <w:ind w:left="425"/>
        <w:jc w:val="both"/>
        <w:rPr>
          <w:rFonts w:ascii="Arial" w:hAnsi="Arial"/>
          <w:noProof w:val="0"/>
        </w:rPr>
      </w:pPr>
      <w:r w:rsidRPr="00F77AB0">
        <w:rPr>
          <w:rFonts w:ascii="Arial" w:hAnsi="Arial"/>
          <w:noProof w:val="0"/>
          <w:rtl/>
        </w:rPr>
        <w:t xml:space="preserve"> ההוראות שפורטו לעיל, עליהן נסמכים המערערים, ביחד ולחוד, אינן הוראות ירושתיות. כל ההוראות כולן נוגעות לשמירת עיקרון ההפרדה הרכושית עליו הסכימו המנוח והמשיבה (במקום הסדר איזון המשאבים) הן בחייהם הן לאחר מיתה. כמו שבמקרה של פרידה בן הזוג לא יוכל לתבוע, מכוח חיי הנישואין, שיתוף ברכוש כלשהו, מושא הוראות אלה, את בן זוגו, כך גם יורשיו של בן הזוג האחד שהלך לעולמו לא יוכלו לעשות כן ביחס לרכוש של בן הזוג שנותר בחיים. הם לא יוכלו לטעון, כיורשיו שנכנסו לנעליו, לעניין הזכויות והחובות הנובעים מהסכם הממון.</w:t>
      </w:r>
    </w:p>
    <w:p w:rsidR="00F77AB0" w:rsidRPr="00F77AB0" w:rsidRDefault="00F77AB0" w:rsidP="00135643">
      <w:pPr>
        <w:spacing w:after="240" w:line="360" w:lineRule="auto"/>
        <w:ind w:left="425"/>
        <w:jc w:val="both"/>
        <w:rPr>
          <w:rFonts w:ascii="Arial" w:hAnsi="Arial"/>
          <w:noProof w:val="0"/>
          <w:rtl/>
        </w:rPr>
      </w:pPr>
      <w:r w:rsidRPr="00F77AB0">
        <w:rPr>
          <w:rFonts w:ascii="Arial" w:hAnsi="Arial"/>
          <w:noProof w:val="0"/>
          <w:rtl/>
        </w:rPr>
        <w:t>כך הוראת סעיף 5 שקובעת/מצהירה כי הוראות ההסכם שנועדו להסדיר "</w:t>
      </w:r>
      <w:r w:rsidRPr="00F77AB0">
        <w:rPr>
          <w:rFonts w:ascii="Arial" w:hAnsi="Arial"/>
          <w:b/>
          <w:bCs/>
          <w:noProof w:val="0"/>
          <w:rtl/>
        </w:rPr>
        <w:t>את יחסי הממון שביניהם</w:t>
      </w:r>
      <w:r w:rsidRPr="00F77AB0">
        <w:rPr>
          <w:rFonts w:ascii="Arial" w:hAnsi="Arial"/>
          <w:noProof w:val="0"/>
          <w:rtl/>
        </w:rPr>
        <w:t>" (ס' 4 להסכם הממון) תחולנה בכל מקרה של סיום החיים המשותפים מכל סיבה שהיא (לרבות מוות ש'ש'). כך הוראת סעיף 8.4 שקובעת כי הוראות ס' 8 (להבדיל מכל הוראות ההסכם שנאמר בסעיף 8.4 "</w:t>
      </w:r>
      <w:r w:rsidRPr="00F77AB0">
        <w:rPr>
          <w:rFonts w:ascii="Arial" w:hAnsi="Arial"/>
          <w:b/>
          <w:bCs/>
          <w:noProof w:val="0"/>
          <w:rtl/>
        </w:rPr>
        <w:t>הוראות סעיף זה</w:t>
      </w:r>
      <w:r w:rsidRPr="00F77AB0">
        <w:rPr>
          <w:rFonts w:ascii="Arial" w:hAnsi="Arial"/>
          <w:noProof w:val="0"/>
          <w:rtl/>
        </w:rPr>
        <w:t xml:space="preserve">" קרי הוראות סעיף 8) תחולנה לאורך החיים המשותפים ואף במקרה של סיומם מכל סיבה שהיא (לרבות מוות ש'ש'). ומה קובעות הוראות סעיף 8? הוראות בדבר יכולתו/זכותו של כל אחד מבני הזוג לעשות ברכושו, בחייו, כראות עיניו (ס"ק 1,2 לסעיף 8) זכות שתעמוד לו במקרה פרידה (ראו ס' 22) וליורשיו במקרה מוות. חובות והתחייבויות של מי מבני הזוג בחייו יהיו באחריותו הבלעדית במקרה של פרידה ובאחריות בלעדית של יורשיו אחרי מותו. </w:t>
      </w:r>
    </w:p>
    <w:p w:rsidR="00F77AB0" w:rsidRPr="00135643" w:rsidRDefault="00F77AB0" w:rsidP="00135643">
      <w:pPr>
        <w:numPr>
          <w:ilvl w:val="0"/>
          <w:numId w:val="1"/>
        </w:numPr>
        <w:spacing w:after="240" w:line="360" w:lineRule="auto"/>
        <w:ind w:left="425"/>
        <w:jc w:val="both"/>
        <w:rPr>
          <w:rFonts w:ascii="Arial" w:hAnsi="Arial"/>
          <w:noProof w:val="0"/>
        </w:rPr>
      </w:pPr>
      <w:r w:rsidRPr="00F77AB0">
        <w:rPr>
          <w:rFonts w:ascii="Arial" w:hAnsi="Arial"/>
          <w:noProof w:val="0"/>
          <w:rtl/>
        </w:rPr>
        <w:t>אין בהסכם הממון, ולו ברמז, הוראה ירושתית מנחילה. אין גם הוראה שמדירה את המשיבה. הסכם הממון שותק בכל הנוגע לרצון מי מבני הזוג להקנות או שלא להקנות לבן הזוג שנותר בחיים חלק מעיזבונו במקרה של פטירה, חלק אחר ממה שמגיע לו כיורש על פי דין או בכלל. ודוקו! אין נפקא מינה לעניין זה אם חיי הנישואין באו לסיומם עקב הפטירה 25 ימים בלבד לאחר שהחלו או 25 שנים של חיי משפחה טובים ומאושרים.</w:t>
      </w:r>
    </w:p>
    <w:p w:rsidR="00F77AB0" w:rsidRDefault="00F77AB0" w:rsidP="00F77AB0">
      <w:pPr>
        <w:numPr>
          <w:ilvl w:val="0"/>
          <w:numId w:val="1"/>
        </w:numPr>
        <w:spacing w:line="360" w:lineRule="auto"/>
        <w:ind w:left="425"/>
        <w:jc w:val="both"/>
        <w:rPr>
          <w:rFonts w:ascii="Arial" w:hAnsi="Arial"/>
          <w:noProof w:val="0"/>
        </w:rPr>
      </w:pPr>
      <w:r w:rsidRPr="00F77AB0">
        <w:rPr>
          <w:rFonts w:ascii="Arial" w:hAnsi="Arial"/>
          <w:noProof w:val="0"/>
          <w:rtl/>
        </w:rPr>
        <w:t>על מנת לתת תוקף לצוואה מדירה, גם אליבא דאלה שסוברים כי יש מקום לקיים צוואה שכוללת הוראה מדירה כהוראה יחידה, ללא הוראות מנחילות לצידה – חייבת ההוראה להיות הוראה מפורשת ולפרט בה אם ההדרה היא מכל העיזבון או מחלק מהעיזבון או ממנה מהעיזבון (</w:t>
      </w:r>
      <w:r w:rsidRPr="00F77AB0">
        <w:rPr>
          <w:rFonts w:ascii="Arial" w:hAnsi="Arial"/>
          <w:b/>
          <w:bCs/>
          <w:noProof w:val="0"/>
          <w:rtl/>
        </w:rPr>
        <w:t>שוחט</w:t>
      </w:r>
      <w:r w:rsidRPr="00F77AB0">
        <w:rPr>
          <w:rFonts w:ascii="Arial" w:hAnsi="Arial"/>
          <w:noProof w:val="0"/>
          <w:rtl/>
        </w:rPr>
        <w:t xml:space="preserve">, שם עמ' 16 ; רע"א 5103/95 </w:t>
      </w:r>
      <w:r w:rsidRPr="00F77AB0">
        <w:rPr>
          <w:rFonts w:ascii="Arial" w:hAnsi="Arial"/>
          <w:b/>
          <w:bCs/>
          <w:noProof w:val="0"/>
          <w:rtl/>
        </w:rPr>
        <w:t>דשת נ' אליהו ואח'</w:t>
      </w:r>
      <w:r w:rsidRPr="00F77AB0">
        <w:rPr>
          <w:rFonts w:ascii="Arial" w:hAnsi="Arial"/>
          <w:noProof w:val="0"/>
          <w:rtl/>
        </w:rPr>
        <w:t xml:space="preserve"> פ"ד נג (3)97). </w:t>
      </w:r>
    </w:p>
    <w:p w:rsidR="00F77AB0" w:rsidRDefault="00F77AB0" w:rsidP="00F77AB0">
      <w:pPr>
        <w:pStyle w:val="ad"/>
        <w:rPr>
          <w:rFonts w:ascii="Arial" w:hAnsi="Arial"/>
          <w:noProof w:val="0"/>
          <w:rtl/>
        </w:rPr>
      </w:pPr>
    </w:p>
    <w:p w:rsidR="00F77AB0" w:rsidRPr="00F77AB0" w:rsidRDefault="00F77AB0" w:rsidP="00F77AB0">
      <w:pPr>
        <w:spacing w:after="240" w:line="360" w:lineRule="auto"/>
        <w:ind w:left="425"/>
        <w:jc w:val="both"/>
        <w:rPr>
          <w:rFonts w:ascii="Arial" w:hAnsi="Arial"/>
          <w:noProof w:val="0"/>
          <w:rtl/>
        </w:rPr>
      </w:pPr>
      <w:r w:rsidRPr="00F77AB0">
        <w:rPr>
          <w:rFonts w:ascii="Arial" w:hAnsi="Arial"/>
          <w:noProof w:val="0"/>
          <w:rtl/>
        </w:rPr>
        <w:lastRenderedPageBreak/>
        <w:t>ובהסכם ממון? בפסיקה, כמו גם אליבא דכל הכותבים בנושא והסוברים כי ניתן לכלול הסדרים ייחודיים למקרה מוות בהסכם ממון, הוראה בהסכם ממון שמדירה יורש מירושתו אינה בת תוקף. עמדתי על כך בהרחבה בעמ"ש (תא) 31306-01-19 פלוני נ' פלונית ; 5.2.20 :</w:t>
      </w:r>
    </w:p>
    <w:p w:rsidR="00F77AB0" w:rsidRPr="00F77AB0" w:rsidRDefault="00F77AB0" w:rsidP="00F77AB0">
      <w:pPr>
        <w:spacing w:after="240" w:line="360" w:lineRule="auto"/>
        <w:ind w:left="425"/>
        <w:jc w:val="both"/>
        <w:rPr>
          <w:rFonts w:ascii="Arial" w:hAnsi="Arial"/>
          <w:b/>
          <w:bCs/>
          <w:noProof w:val="0"/>
          <w:rtl/>
        </w:rPr>
      </w:pPr>
      <w:r w:rsidRPr="00F77AB0">
        <w:rPr>
          <w:rFonts w:ascii="Arial" w:hAnsi="Arial"/>
          <w:b/>
          <w:bCs/>
          <w:noProof w:val="0"/>
          <w:rtl/>
        </w:rPr>
        <w:t xml:space="preserve">"פרופ' ליפשיץ מבחין בין הוראות שוללות/מדירות לבין הוראות מעניקות בהסכם ממון. הראשונות </w:t>
      </w:r>
      <w:r w:rsidRPr="00F77AB0">
        <w:rPr>
          <w:rFonts w:ascii="Arial" w:hAnsi="Arial"/>
          <w:b/>
          <w:bCs/>
          <w:noProof w:val="0"/>
          <w:u w:val="single"/>
          <w:rtl/>
        </w:rPr>
        <w:t>חסרות תוקף</w:t>
      </w:r>
      <w:r w:rsidRPr="00F77AB0">
        <w:rPr>
          <w:rFonts w:ascii="Arial" w:hAnsi="Arial"/>
          <w:b/>
          <w:bCs/>
          <w:noProof w:val="0"/>
          <w:rtl/>
        </w:rPr>
        <w:t xml:space="preserve">, האחרונות תקפות הן. לא יכולה להיות מחלוקת, כי הוראה בהסכם ממון המדירה יורש מירושתו (כפי שהיה בפסק דינו של הש' הנדל) או שקובעת את זהות היורשים </w:t>
      </w:r>
      <w:r w:rsidRPr="00F77AB0">
        <w:rPr>
          <w:rFonts w:ascii="Arial" w:hAnsi="Arial"/>
          <w:b/>
          <w:bCs/>
          <w:noProof w:val="0"/>
          <w:u w:val="single"/>
          <w:rtl/>
        </w:rPr>
        <w:t>בטלה היא</w:t>
      </w:r>
      <w:r w:rsidRPr="00F77AB0">
        <w:rPr>
          <w:rFonts w:ascii="Arial" w:hAnsi="Arial"/>
          <w:b/>
          <w:bCs/>
          <w:noProof w:val="0"/>
          <w:rtl/>
        </w:rPr>
        <w:t xml:space="preserve">. לא רק שאין בחוק יחסי ממון רמז לאפשרות זו אלא שהוראה כזו תעמוד בסתירה חזיתית להוראות סעיף 8(א) לחוק הירושה שעל איסוריה עמדתי לעיל. </w:t>
      </w:r>
      <w:r w:rsidRPr="00F77AB0">
        <w:rPr>
          <w:rFonts w:ascii="Arial" w:hAnsi="Arial"/>
          <w:noProof w:val="0"/>
          <w:rtl/>
        </w:rPr>
        <w:t>(ההדגשה איננה במקור – ש'</w:t>
      </w:r>
      <w:r>
        <w:rPr>
          <w:rFonts w:ascii="Arial" w:hAnsi="Arial" w:hint="cs"/>
          <w:noProof w:val="0"/>
          <w:rtl/>
        </w:rPr>
        <w:t xml:space="preserve"> </w:t>
      </w:r>
      <w:r w:rsidRPr="00F77AB0">
        <w:rPr>
          <w:rFonts w:ascii="Arial" w:hAnsi="Arial"/>
          <w:noProof w:val="0"/>
          <w:rtl/>
        </w:rPr>
        <w:t>ש')</w:t>
      </w:r>
      <w:r w:rsidRPr="00F77AB0">
        <w:rPr>
          <w:rFonts w:ascii="Arial" w:hAnsi="Arial"/>
          <w:b/>
          <w:bCs/>
          <w:noProof w:val="0"/>
          <w:rtl/>
        </w:rPr>
        <w:t>.</w:t>
      </w:r>
    </w:p>
    <w:p w:rsidR="00F77AB0" w:rsidRPr="00F77AB0" w:rsidRDefault="00F77AB0" w:rsidP="00135643">
      <w:pPr>
        <w:numPr>
          <w:ilvl w:val="0"/>
          <w:numId w:val="1"/>
        </w:numPr>
        <w:spacing w:after="240" w:line="360" w:lineRule="auto"/>
        <w:ind w:left="425"/>
        <w:jc w:val="both"/>
        <w:rPr>
          <w:rFonts w:ascii="Arial" w:hAnsi="Arial"/>
          <w:noProof w:val="0"/>
          <w:rtl/>
        </w:rPr>
      </w:pPr>
      <w:r w:rsidRPr="00F77AB0">
        <w:rPr>
          <w:rFonts w:ascii="Arial" w:hAnsi="Arial"/>
          <w:noProof w:val="0"/>
          <w:rtl/>
        </w:rPr>
        <w:t xml:space="preserve">המערערים, בתמיכה לטענתם, מפנים לפסק הדין שניתן </w:t>
      </w:r>
      <w:r w:rsidRPr="00F77AB0">
        <w:rPr>
          <w:rFonts w:ascii="Arial" w:hAnsi="Arial"/>
          <w:b/>
          <w:bCs/>
          <w:noProof w:val="0"/>
          <w:rtl/>
        </w:rPr>
        <w:t xml:space="preserve">בפרשת ש'א'. </w:t>
      </w:r>
      <w:r w:rsidRPr="00F77AB0">
        <w:rPr>
          <w:rFonts w:ascii="Arial" w:hAnsi="Arial"/>
          <w:noProof w:val="0"/>
          <w:rtl/>
        </w:rPr>
        <w:t xml:space="preserve">פסק דין זה לא רק שלא תומך בטענתם הוא תומך ומחזק את התוצאה אליה הגיע בית משפט קמא ומהווה אסמכתא לתוצאה בערעור. בפסק דין זה, בני הזוג היו ידועים בציבור והוראת הירושה הרלבנטית בעניינם הייתה הוראת סעיף 55 לחוק הירושה, תשכ"ה – 1965 (להלן: </w:t>
      </w:r>
      <w:r w:rsidRPr="00F77AB0">
        <w:rPr>
          <w:rFonts w:ascii="Arial" w:hAnsi="Arial"/>
          <w:b/>
          <w:bCs/>
          <w:noProof w:val="0"/>
          <w:rtl/>
        </w:rPr>
        <w:t>חוק הירושה</w:t>
      </w:r>
      <w:r w:rsidRPr="00F77AB0">
        <w:rPr>
          <w:rFonts w:ascii="Arial" w:hAnsi="Arial"/>
          <w:noProof w:val="0"/>
          <w:rtl/>
        </w:rPr>
        <w:t>) שכותרתו "מעין צוואה". הוראה זו, שנמצאת בפרק השלישי לחוק הירושה שעוסק בירושה על פי צוואה, מאפשרת לעקר את זכותו של בן הזוג הידוע בציבור לרשת מכוחה אם הדבר נעשה "</w:t>
      </w:r>
      <w:r w:rsidRPr="00F77AB0">
        <w:rPr>
          <w:rFonts w:ascii="Arial" w:hAnsi="Arial"/>
          <w:b/>
          <w:bCs/>
          <w:noProof w:val="0"/>
          <w:rtl/>
        </w:rPr>
        <w:t>בהוראה אחרת, מפורשת או משתמעת, בצוואה שהשאיר המוריש</w:t>
      </w:r>
      <w:r w:rsidRPr="00F77AB0">
        <w:rPr>
          <w:rFonts w:ascii="Arial" w:hAnsi="Arial"/>
          <w:noProof w:val="0"/>
          <w:rtl/>
        </w:rPr>
        <w:t>". ראשית, פסק הדין ב</w:t>
      </w:r>
      <w:r w:rsidRPr="00F77AB0">
        <w:rPr>
          <w:rFonts w:ascii="Arial" w:hAnsi="Arial"/>
          <w:b/>
          <w:bCs/>
          <w:noProof w:val="0"/>
          <w:rtl/>
        </w:rPr>
        <w:t xml:space="preserve">פרשת ש'א' </w:t>
      </w:r>
      <w:r w:rsidRPr="00F77AB0">
        <w:rPr>
          <w:rFonts w:ascii="Arial" w:hAnsi="Arial"/>
          <w:noProof w:val="0"/>
          <w:rtl/>
        </w:rPr>
        <w:t>עסק אפוא ביחסי הגומלין בין הסכם שנערך בין בני זוג ידועים בציבור לבין הוראת סעיף 55 לחוק הירושה. במקרה שלפנינו עולה שאלת היחס בין הסכם הממון לבין הוראת סעיף 11 (א)(1) לחוק הירושה שמעגנת את מעמדו של בן הזוג הנשוי כיורש על פי דין, הוראה שנמצאת בפרק השני לחוק הירושה שעוסק בירושה על פי דין. שנית, ההוראות שניתן להן תוקף באותו מקרה ושהופיעו בהסכם שנחתם בין בני הזוג היו הוראות ירושתיות/צוואתיות ברורות ומפורשות. סעיף 11, שכותרתו הייתה "</w:t>
      </w:r>
      <w:r w:rsidRPr="00F77AB0">
        <w:rPr>
          <w:rFonts w:ascii="Arial" w:hAnsi="Arial"/>
          <w:b/>
          <w:bCs/>
          <w:noProof w:val="0"/>
          <w:rtl/>
        </w:rPr>
        <w:t>פטירת מי מהצדדים</w:t>
      </w:r>
      <w:r w:rsidRPr="00F77AB0">
        <w:rPr>
          <w:rFonts w:ascii="Arial" w:hAnsi="Arial"/>
          <w:noProof w:val="0"/>
          <w:rtl/>
        </w:rPr>
        <w:t xml:space="preserve">" כלל הוראות ייחודיות לעת פטירת מי מהשניים: "א. </w:t>
      </w:r>
      <w:r w:rsidRPr="00F77AB0">
        <w:rPr>
          <w:rFonts w:ascii="Arial" w:hAnsi="Arial"/>
          <w:b/>
          <w:bCs/>
          <w:noProof w:val="0"/>
          <w:rtl/>
        </w:rPr>
        <w:t>מוסכם בין הצדדים כי אם אחד מהצדדים נפטר הרי שלא תהיה לצד השני כל זכות בירושה של הצד הנפטר אלא אם ישנה צוואה של הצד הנפטר המצווה אחרת וזאת לגבי נכסים שנצברו לפני חיי השיתוף בין הצדדים, ובמהלך חיי השיתוף בין הצדדים. ב. מוסכם בין הצדדים שסעיף 55 לחוק הירושה, התשכ"ה – 1965 לא יחול על הצדדים בשום תנאי"</w:t>
      </w:r>
      <w:r w:rsidRPr="00F77AB0">
        <w:rPr>
          <w:rFonts w:ascii="Arial" w:hAnsi="Arial"/>
          <w:noProof w:val="0"/>
          <w:rtl/>
        </w:rPr>
        <w:t xml:space="preserve">". </w:t>
      </w:r>
    </w:p>
    <w:p w:rsidR="00F77AB0" w:rsidRPr="00F77AB0" w:rsidRDefault="00F77AB0" w:rsidP="00135643">
      <w:pPr>
        <w:spacing w:after="240" w:line="360" w:lineRule="auto"/>
        <w:ind w:left="425"/>
        <w:jc w:val="both"/>
        <w:rPr>
          <w:rFonts w:ascii="Arial" w:hAnsi="Arial"/>
          <w:noProof w:val="0"/>
        </w:rPr>
      </w:pPr>
      <w:r w:rsidRPr="00F77AB0">
        <w:rPr>
          <w:rFonts w:ascii="Arial" w:hAnsi="Arial"/>
          <w:noProof w:val="0"/>
          <w:rtl/>
        </w:rPr>
        <w:t>וכל המוסיף גורע.</w:t>
      </w:r>
    </w:p>
    <w:p w:rsidR="00F77AB0" w:rsidRPr="00F77AB0" w:rsidRDefault="00F77AB0" w:rsidP="00135643">
      <w:pPr>
        <w:numPr>
          <w:ilvl w:val="0"/>
          <w:numId w:val="1"/>
        </w:numPr>
        <w:spacing w:after="240" w:line="360" w:lineRule="auto"/>
        <w:ind w:left="425"/>
        <w:jc w:val="both"/>
        <w:rPr>
          <w:rFonts w:ascii="Arial" w:hAnsi="Arial"/>
          <w:noProof w:val="0"/>
          <w:rtl/>
        </w:rPr>
      </w:pPr>
      <w:r w:rsidRPr="00F77AB0">
        <w:rPr>
          <w:rFonts w:ascii="Arial" w:hAnsi="Arial"/>
          <w:noProof w:val="0"/>
          <w:rtl/>
        </w:rPr>
        <w:t xml:space="preserve">אמליץ לחבריי, אפוא, לדחות את הערעור ולחייב את המערערים לשאת בהוצאות המשיבה כדי סך של 30,000 ₪. </w:t>
      </w:r>
    </w:p>
    <w:p w:rsidR="00F77AB0" w:rsidRPr="00F77AB0" w:rsidRDefault="00F77AB0" w:rsidP="00135643">
      <w:pPr>
        <w:spacing w:line="360" w:lineRule="auto"/>
        <w:ind w:left="425"/>
        <w:jc w:val="both"/>
        <w:rPr>
          <w:rFonts w:ascii="Arial" w:hAnsi="Arial"/>
          <w:noProof w:val="0"/>
        </w:rPr>
      </w:pPr>
      <w:r w:rsidRPr="00F77AB0">
        <w:rPr>
          <w:rFonts w:ascii="Arial" w:hAnsi="Arial"/>
          <w:noProof w:val="0"/>
          <w:rtl/>
        </w:rPr>
        <w:t>ה</w:t>
      </w:r>
      <w:r w:rsidR="00135643">
        <w:rPr>
          <w:rFonts w:ascii="Arial" w:hAnsi="Arial"/>
          <w:noProof w:val="0"/>
          <w:rtl/>
        </w:rPr>
        <w:t xml:space="preserve">עירבון על פירותיו יועבר למשיבה </w:t>
      </w:r>
      <w:r w:rsidRPr="00F77AB0">
        <w:rPr>
          <w:rFonts w:ascii="Arial" w:hAnsi="Arial"/>
          <w:noProof w:val="0"/>
          <w:rtl/>
        </w:rPr>
        <w:t xml:space="preserve">באמצעות בא כוחה על חשבון ההוצאות. </w:t>
      </w:r>
    </w:p>
    <w:tbl>
      <w:tblPr>
        <w:bidiVisual/>
        <w:tblW w:w="0" w:type="auto"/>
        <w:tblInd w:w="4932" w:type="dxa"/>
        <w:tblCellMar>
          <w:left w:w="0" w:type="dxa"/>
          <w:right w:w="0" w:type="dxa"/>
        </w:tblCellMar>
        <w:tblLook w:val="04A0" w:firstRow="1" w:lastRow="0" w:firstColumn="1" w:lastColumn="0" w:noHBand="0" w:noVBand="1"/>
      </w:tblPr>
      <w:tblGrid>
        <w:gridCol w:w="2916"/>
      </w:tblGrid>
      <w:tr w:rsidR="00135643" w:rsidTr="00135643">
        <w:tc>
          <w:tcPr>
            <w:tcW w:w="2916" w:type="dxa"/>
            <w:tcBorders>
              <w:top w:val="nil"/>
              <w:left w:val="nil"/>
              <w:bottom w:val="single" w:sz="8" w:space="0" w:color="auto"/>
              <w:right w:val="nil"/>
            </w:tcBorders>
            <w:tcMar>
              <w:top w:w="0" w:type="dxa"/>
              <w:left w:w="108" w:type="dxa"/>
              <w:bottom w:w="0" w:type="dxa"/>
              <w:right w:w="108" w:type="dxa"/>
            </w:tcMar>
            <w:vAlign w:val="center"/>
            <w:hideMark/>
          </w:tcPr>
          <w:p w:rsidR="00135643" w:rsidRDefault="00135643">
            <w:pPr>
              <w:spacing w:line="256" w:lineRule="auto"/>
              <w:ind w:left="360"/>
              <w:jc w:val="center"/>
              <w:rPr>
                <w:rFonts w:ascii="David" w:hAnsi="David"/>
                <w:b/>
                <w:bCs/>
                <w:rtl/>
              </w:rPr>
            </w:pPr>
            <w:r>
              <w:rPr>
                <w:rFonts w:ascii="David" w:hAnsi="David"/>
              </w:rPr>
              <w:lastRenderedPageBreak/>
              <w:drawing>
                <wp:inline distT="0" distB="0" distL="0" distR="0">
                  <wp:extent cx="1483995" cy="741680"/>
                  <wp:effectExtent l="0" t="0" r="1905" b="1270"/>
                  <wp:docPr id="5" name="תמונה 5" descr="cid:image002.gif@01D5D9AF.3D52D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gif@01D5D9AF.3D52D30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3995" cy="741680"/>
                          </a:xfrm>
                          <a:prstGeom prst="rect">
                            <a:avLst/>
                          </a:prstGeom>
                          <a:noFill/>
                          <a:ln>
                            <a:noFill/>
                          </a:ln>
                        </pic:spPr>
                      </pic:pic>
                    </a:graphicData>
                  </a:graphic>
                </wp:inline>
              </w:drawing>
            </w:r>
          </w:p>
        </w:tc>
      </w:tr>
      <w:tr w:rsidR="00135643" w:rsidTr="00135643">
        <w:tc>
          <w:tcPr>
            <w:tcW w:w="2916" w:type="dxa"/>
            <w:tcMar>
              <w:top w:w="0" w:type="dxa"/>
              <w:left w:w="108" w:type="dxa"/>
              <w:bottom w:w="0" w:type="dxa"/>
              <w:right w:w="108" w:type="dxa"/>
            </w:tcMar>
            <w:hideMark/>
          </w:tcPr>
          <w:p w:rsidR="00135643" w:rsidRDefault="00135643">
            <w:pPr>
              <w:spacing w:line="256" w:lineRule="auto"/>
              <w:ind w:left="360"/>
              <w:jc w:val="center"/>
              <w:rPr>
                <w:rFonts w:ascii="David" w:hAnsi="David"/>
                <w:b/>
                <w:bCs/>
                <w:sz w:val="26"/>
                <w:szCs w:val="26"/>
              </w:rPr>
            </w:pPr>
            <w:r>
              <w:rPr>
                <w:rFonts w:ascii="David" w:hAnsi="David"/>
                <w:b/>
                <w:bCs/>
                <w:sz w:val="26"/>
                <w:szCs w:val="26"/>
                <w:rtl/>
              </w:rPr>
              <w:t>שאול שוחט, שופט</w:t>
            </w:r>
          </w:p>
          <w:p w:rsidR="00135643" w:rsidRDefault="00135643">
            <w:pPr>
              <w:spacing w:line="256" w:lineRule="auto"/>
              <w:ind w:left="360"/>
              <w:jc w:val="center"/>
              <w:rPr>
                <w:rFonts w:ascii="David" w:hAnsi="David"/>
                <w:b/>
                <w:bCs/>
              </w:rPr>
            </w:pPr>
            <w:r>
              <w:rPr>
                <w:rFonts w:ascii="David" w:hAnsi="David"/>
                <w:b/>
                <w:bCs/>
                <w:sz w:val="26"/>
                <w:szCs w:val="26"/>
                <w:rtl/>
              </w:rPr>
              <w:t>סג"נ-אב"ד</w:t>
            </w:r>
            <w:r>
              <w:rPr>
                <w:rFonts w:ascii="David" w:hAnsi="David"/>
                <w:b/>
                <w:bCs/>
                <w:rtl/>
              </w:rPr>
              <w:t xml:space="preserve"> </w:t>
            </w:r>
          </w:p>
        </w:tc>
      </w:tr>
    </w:tbl>
    <w:p w:rsidR="00135643" w:rsidRPr="00135643" w:rsidRDefault="00135643" w:rsidP="00135643">
      <w:pPr>
        <w:spacing w:after="240"/>
        <w:rPr>
          <w:rFonts w:ascii="FrankRuehl" w:hAnsi="FrankRuehl" w:cs="FrankRuehl"/>
          <w:b/>
          <w:bCs/>
          <w:sz w:val="26"/>
          <w:szCs w:val="26"/>
          <w:u w:val="single"/>
        </w:rPr>
      </w:pPr>
      <w:r w:rsidRPr="00135643">
        <w:rPr>
          <w:rFonts w:ascii="David" w:hAnsi="David"/>
          <w:b/>
          <w:bCs/>
          <w:sz w:val="26"/>
          <w:szCs w:val="26"/>
          <w:u w:val="single"/>
          <w:rtl/>
        </w:rPr>
        <w:t>כבוד השופט</w:t>
      </w:r>
      <w:r w:rsidRPr="00135643">
        <w:rPr>
          <w:rFonts w:ascii="David" w:hAnsi="David" w:hint="cs"/>
          <w:b/>
          <w:bCs/>
          <w:sz w:val="26"/>
          <w:szCs w:val="26"/>
          <w:u w:val="single"/>
          <w:rtl/>
        </w:rPr>
        <w:t>ת עינת רביד</w:t>
      </w:r>
    </w:p>
    <w:p w:rsidR="00135643" w:rsidRDefault="00135643" w:rsidP="00135643">
      <w:pPr>
        <w:rPr>
          <w:rtl/>
        </w:rPr>
      </w:pPr>
      <w:r>
        <w:rPr>
          <w:rFonts w:hint="cs"/>
          <w:rtl/>
        </w:rPr>
        <w:t>אני מסכימה.</w:t>
      </w:r>
    </w:p>
    <w:p w:rsidR="00135643" w:rsidRDefault="00135643" w:rsidP="00135643">
      <w:pPr>
        <w:rPr>
          <w:rtl/>
        </w:rPr>
      </w:pPr>
    </w:p>
    <w:p w:rsidR="00135643" w:rsidRDefault="00135643" w:rsidP="00135643">
      <w:pPr>
        <w:rPr>
          <w:rtl/>
        </w:rPr>
      </w:pPr>
    </w:p>
    <w:p w:rsidR="00135643" w:rsidRDefault="00135643" w:rsidP="00135643">
      <w:pPr>
        <w:ind w:left="1440"/>
      </w:pPr>
      <w:r>
        <w:drawing>
          <wp:anchor distT="0" distB="0" distL="114300" distR="114300" simplePos="0" relativeHeight="251659264" behindDoc="0" locked="0" layoutInCell="1" allowOverlap="1">
            <wp:simplePos x="0" y="0"/>
            <wp:positionH relativeFrom="column">
              <wp:posOffset>428625</wp:posOffset>
            </wp:positionH>
            <wp:positionV relativeFrom="paragraph">
              <wp:posOffset>72390</wp:posOffset>
            </wp:positionV>
            <wp:extent cx="1282700" cy="558165"/>
            <wp:effectExtent l="0" t="0" r="0" b="0"/>
            <wp:wrapNone/>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2700" cy="558165"/>
                    </a:xfrm>
                    <a:prstGeom prst="rect">
                      <a:avLst/>
                    </a:prstGeom>
                    <a:noFill/>
                  </pic:spPr>
                </pic:pic>
              </a:graphicData>
            </a:graphic>
            <wp14:sizeRelH relativeFrom="page">
              <wp14:pctWidth>0</wp14:pctWidth>
            </wp14:sizeRelH>
            <wp14:sizeRelV relativeFrom="page">
              <wp14:pctHeight>0</wp14:pctHeight>
            </wp14:sizeRelV>
          </wp:anchor>
        </w:drawing>
      </w:r>
    </w:p>
    <w:p w:rsidR="00135643" w:rsidRDefault="00135643" w:rsidP="00135643">
      <w:pPr>
        <w:ind w:left="5040"/>
        <w:rPr>
          <w:rtl/>
        </w:rPr>
      </w:pPr>
    </w:p>
    <w:p w:rsidR="00135643" w:rsidRDefault="00135643" w:rsidP="00135643">
      <w:pPr>
        <w:ind w:left="5040"/>
        <w:rPr>
          <w:rtl/>
        </w:rPr>
      </w:pPr>
    </w:p>
    <w:p w:rsidR="00135643" w:rsidRDefault="00135643" w:rsidP="00135643">
      <w:pPr>
        <w:ind w:left="5040"/>
        <w:rPr>
          <w:rtl/>
        </w:rPr>
      </w:pPr>
    </w:p>
    <w:tbl>
      <w:tblPr>
        <w:tblStyle w:val="a9"/>
        <w:bidiVisual/>
        <w:tblW w:w="0" w:type="auto"/>
        <w:tblInd w:w="5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135643" w:rsidTr="00135643">
        <w:tc>
          <w:tcPr>
            <w:tcW w:w="2919" w:type="dxa"/>
            <w:tcBorders>
              <w:top w:val="nil"/>
              <w:left w:val="nil"/>
              <w:bottom w:val="single" w:sz="4" w:space="0" w:color="auto"/>
              <w:right w:val="nil"/>
            </w:tcBorders>
            <w:vAlign w:val="center"/>
          </w:tcPr>
          <w:p w:rsidR="00135643" w:rsidRDefault="00135643">
            <w:pPr>
              <w:jc w:val="center"/>
              <w:rPr>
                <w:rFonts w:ascii="Courier New" w:hAnsi="Courier New"/>
                <w:b/>
                <w:bCs/>
                <w:rtl/>
              </w:rPr>
            </w:pPr>
          </w:p>
        </w:tc>
      </w:tr>
      <w:tr w:rsidR="00135643" w:rsidTr="00135643">
        <w:tc>
          <w:tcPr>
            <w:tcW w:w="2919" w:type="dxa"/>
            <w:tcBorders>
              <w:top w:val="single" w:sz="4" w:space="0" w:color="auto"/>
              <w:left w:val="nil"/>
              <w:bottom w:val="nil"/>
              <w:right w:val="nil"/>
            </w:tcBorders>
            <w:vAlign w:val="bottom"/>
          </w:tcPr>
          <w:p w:rsidR="00135643" w:rsidRDefault="00135643">
            <w:pPr>
              <w:jc w:val="center"/>
              <w:rPr>
                <w:rFonts w:ascii="Courier New" w:hAnsi="Courier New"/>
                <w:b/>
                <w:bCs/>
                <w:sz w:val="26"/>
                <w:szCs w:val="26"/>
                <w:rtl/>
              </w:rPr>
            </w:pPr>
            <w:r>
              <w:rPr>
                <w:rFonts w:ascii="Courier New" w:hAnsi="Courier New"/>
                <w:b/>
                <w:bCs/>
                <w:sz w:val="26"/>
                <w:szCs w:val="26"/>
                <w:rtl/>
              </w:rPr>
              <w:t>עינת רביד, שופטת</w:t>
            </w:r>
          </w:p>
          <w:p w:rsidR="00135643" w:rsidRDefault="00135643">
            <w:pPr>
              <w:jc w:val="center"/>
              <w:rPr>
                <w:rFonts w:ascii="Courier New" w:hAnsi="Courier New"/>
                <w:b/>
                <w:bCs/>
                <w:sz w:val="26"/>
                <w:szCs w:val="26"/>
              </w:rPr>
            </w:pPr>
          </w:p>
        </w:tc>
      </w:tr>
    </w:tbl>
    <w:p w:rsidR="00135643" w:rsidRDefault="00135643" w:rsidP="00135643">
      <w:pPr>
        <w:spacing w:line="360" w:lineRule="auto"/>
        <w:jc w:val="both"/>
        <w:rPr>
          <w:rFonts w:ascii="David" w:hAnsi="David"/>
          <w:b/>
          <w:bCs/>
          <w:sz w:val="26"/>
          <w:szCs w:val="26"/>
          <w:u w:val="single"/>
          <w:rtl/>
        </w:rPr>
      </w:pPr>
      <w:r>
        <w:rPr>
          <w:rFonts w:ascii="David" w:hAnsi="David"/>
          <w:b/>
          <w:bCs/>
          <w:sz w:val="26"/>
          <w:szCs w:val="26"/>
          <w:u w:val="single"/>
          <w:rtl/>
        </w:rPr>
        <w:t>כבוד השופט נפתלי שילה</w:t>
      </w:r>
    </w:p>
    <w:p w:rsidR="00135643" w:rsidRDefault="00135643" w:rsidP="00135643">
      <w:pPr>
        <w:spacing w:line="360" w:lineRule="auto"/>
        <w:jc w:val="both"/>
        <w:rPr>
          <w:rFonts w:ascii="David" w:hAnsi="David"/>
          <w:rtl/>
        </w:rPr>
      </w:pPr>
      <w:r>
        <w:rPr>
          <w:rFonts w:ascii="David" w:hAnsi="David"/>
          <w:rtl/>
        </w:rPr>
        <w:t xml:space="preserve">אני מסכים. </w:t>
      </w:r>
    </w:p>
    <w:tbl>
      <w:tblPr>
        <w:bidiVisual/>
        <w:tblW w:w="0" w:type="auto"/>
        <w:tblInd w:w="4932" w:type="dxa"/>
        <w:tblCellMar>
          <w:left w:w="0" w:type="dxa"/>
          <w:right w:w="0" w:type="dxa"/>
        </w:tblCellMar>
        <w:tblLook w:val="04A0" w:firstRow="1" w:lastRow="0" w:firstColumn="1" w:lastColumn="0" w:noHBand="0" w:noVBand="1"/>
      </w:tblPr>
      <w:tblGrid>
        <w:gridCol w:w="2872"/>
      </w:tblGrid>
      <w:tr w:rsidR="00135643" w:rsidTr="00135643">
        <w:tc>
          <w:tcPr>
            <w:tcW w:w="2872" w:type="dxa"/>
            <w:tcBorders>
              <w:top w:val="nil"/>
              <w:left w:val="nil"/>
              <w:bottom w:val="single" w:sz="8" w:space="0" w:color="auto"/>
              <w:right w:val="nil"/>
            </w:tcBorders>
            <w:tcMar>
              <w:top w:w="0" w:type="dxa"/>
              <w:left w:w="108" w:type="dxa"/>
              <w:bottom w:w="0" w:type="dxa"/>
              <w:right w:w="108" w:type="dxa"/>
            </w:tcMar>
            <w:hideMark/>
          </w:tcPr>
          <w:p w:rsidR="00135643" w:rsidRDefault="00135643">
            <w:pPr>
              <w:spacing w:line="360" w:lineRule="auto"/>
              <w:ind w:left="360"/>
              <w:jc w:val="both"/>
              <w:rPr>
                <w:rFonts w:ascii="David" w:hAnsi="David"/>
                <w:rtl/>
              </w:rPr>
            </w:pPr>
            <w:r>
              <w:rPr>
                <w:rFonts w:ascii="David" w:hAnsi="David"/>
              </w:rPr>
              <w:drawing>
                <wp:inline distT="0" distB="0" distL="0" distR="0">
                  <wp:extent cx="1337310" cy="534670"/>
                  <wp:effectExtent l="0" t="0" r="0" b="0"/>
                  <wp:docPr id="6" name="תמונה 6" descr="cid:image003.png@01D5D9AF.3D52D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5D9AF.3D52D3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37310" cy="534670"/>
                          </a:xfrm>
                          <a:prstGeom prst="rect">
                            <a:avLst/>
                          </a:prstGeom>
                          <a:noFill/>
                          <a:ln>
                            <a:noFill/>
                          </a:ln>
                        </pic:spPr>
                      </pic:pic>
                    </a:graphicData>
                  </a:graphic>
                </wp:inline>
              </w:drawing>
            </w:r>
          </w:p>
        </w:tc>
      </w:tr>
      <w:tr w:rsidR="00135643" w:rsidTr="00135643">
        <w:tc>
          <w:tcPr>
            <w:tcW w:w="2872" w:type="dxa"/>
            <w:tcMar>
              <w:top w:w="0" w:type="dxa"/>
              <w:left w:w="108" w:type="dxa"/>
              <w:bottom w:w="0" w:type="dxa"/>
              <w:right w:w="108" w:type="dxa"/>
            </w:tcMar>
            <w:hideMark/>
          </w:tcPr>
          <w:p w:rsidR="00135643" w:rsidRDefault="00135643">
            <w:pPr>
              <w:spacing w:line="360" w:lineRule="auto"/>
              <w:ind w:left="360"/>
              <w:jc w:val="center"/>
              <w:rPr>
                <w:rFonts w:ascii="David" w:hAnsi="David"/>
                <w:b/>
                <w:bCs/>
                <w:sz w:val="26"/>
                <w:szCs w:val="26"/>
                <w:rtl/>
              </w:rPr>
            </w:pPr>
            <w:r>
              <w:rPr>
                <w:rFonts w:ascii="David" w:hAnsi="David"/>
                <w:b/>
                <w:bCs/>
                <w:sz w:val="26"/>
                <w:szCs w:val="26"/>
                <w:rtl/>
              </w:rPr>
              <w:t>נפתלי שילה, שופט</w:t>
            </w:r>
          </w:p>
        </w:tc>
      </w:tr>
    </w:tbl>
    <w:p w:rsidR="00135643" w:rsidRDefault="00135643" w:rsidP="00135643">
      <w:pPr>
        <w:rPr>
          <w:rFonts w:ascii="Calibri" w:hAnsi="Calibri" w:cs="Calibri"/>
          <w:sz w:val="22"/>
          <w:szCs w:val="22"/>
          <w:rtl/>
        </w:rPr>
      </w:pPr>
    </w:p>
    <w:p w:rsidR="00135643" w:rsidRDefault="00135643" w:rsidP="00643CA5">
      <w:pPr>
        <w:spacing w:after="240" w:line="360" w:lineRule="auto"/>
        <w:rPr>
          <w:rFonts w:ascii="Arial" w:hAnsi="Arial"/>
          <w:noProof w:val="0"/>
          <w:rtl/>
        </w:rPr>
      </w:pPr>
      <w:r>
        <w:rPr>
          <w:rFonts w:ascii="Arial" w:hAnsi="Arial"/>
          <w:noProof w:val="0"/>
          <w:rtl/>
        </w:rPr>
        <w:t>הוחלט בהתאם לפסק דינ</w:t>
      </w:r>
      <w:r>
        <w:rPr>
          <w:rFonts w:ascii="Arial" w:hAnsi="Arial" w:hint="cs"/>
          <w:noProof w:val="0"/>
          <w:rtl/>
        </w:rPr>
        <w:t>ו</w:t>
      </w:r>
      <w:r>
        <w:rPr>
          <w:rFonts w:ascii="Arial" w:hAnsi="Arial"/>
          <w:noProof w:val="0"/>
          <w:rtl/>
        </w:rPr>
        <w:t xml:space="preserve"> של </w:t>
      </w:r>
      <w:r>
        <w:rPr>
          <w:rFonts w:ascii="Arial" w:hAnsi="Arial" w:hint="cs"/>
          <w:noProof w:val="0"/>
          <w:rtl/>
        </w:rPr>
        <w:t>סגן הנשיא, אב"ד השופט</w:t>
      </w:r>
      <w:r w:rsidR="007E66F5">
        <w:rPr>
          <w:rFonts w:ascii="Arial" w:hAnsi="Arial" w:hint="cs"/>
          <w:noProof w:val="0"/>
          <w:rtl/>
        </w:rPr>
        <w:t xml:space="preserve"> שאול</w:t>
      </w:r>
      <w:r>
        <w:rPr>
          <w:rFonts w:ascii="Arial" w:hAnsi="Arial" w:hint="cs"/>
          <w:noProof w:val="0"/>
          <w:rtl/>
        </w:rPr>
        <w:t xml:space="preserve"> שוחט</w:t>
      </w:r>
      <w:r>
        <w:rPr>
          <w:rFonts w:ascii="Arial" w:hAnsi="Arial"/>
          <w:noProof w:val="0"/>
          <w:rtl/>
        </w:rPr>
        <w:t xml:space="preserve">. </w:t>
      </w:r>
    </w:p>
    <w:p w:rsidR="00643CA5" w:rsidRDefault="00643CA5" w:rsidP="00135643">
      <w:pPr>
        <w:spacing w:line="360" w:lineRule="auto"/>
        <w:rPr>
          <w:rFonts w:ascii="Arial" w:hAnsi="Arial"/>
          <w:noProof w:val="0"/>
          <w:rtl/>
        </w:rPr>
      </w:pPr>
      <w:r>
        <w:rPr>
          <w:rFonts w:ascii="Arial" w:hAnsi="Arial" w:hint="cs"/>
          <w:noProof w:val="0"/>
          <w:rtl/>
        </w:rPr>
        <w:t>פסק הדין מותר לפרסום בהשמטת פרטי הצדדים.</w:t>
      </w:r>
    </w:p>
    <w:p w:rsidR="00694556" w:rsidRPr="00135643" w:rsidRDefault="00694556">
      <w:pPr>
        <w:spacing w:line="360" w:lineRule="auto"/>
        <w:jc w:val="both"/>
        <w:rPr>
          <w:rFonts w:ascii="Arial" w:hAnsi="Arial"/>
          <w:noProof w:val="0"/>
          <w:rtl/>
        </w:rPr>
      </w:pPr>
    </w:p>
    <w:p w:rsidR="00135643" w:rsidRPr="001B00AE" w:rsidRDefault="0043502B" w:rsidP="001B00AE">
      <w:pPr>
        <w:spacing w:after="160" w:line="259" w:lineRule="auto"/>
        <w:rPr>
          <w:rFonts w:asciiTheme="minorHAnsi" w:hAnsiTheme="minorHAnsi" w:cs="Arial"/>
          <w:sz w:val="22"/>
          <w:szCs w:val="22"/>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כ"ב סיוון תשפ"ג</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11 יוני 2023</w:t>
          </w:r>
        </w:sdtContent>
      </w:sdt>
      <w:r w:rsidR="00005C8B">
        <w:rPr>
          <w:rFonts w:ascii="Arial" w:hAnsi="Arial"/>
          <w:noProof w:val="0"/>
          <w:rtl/>
        </w:rPr>
        <w:t>, בהעדר הצדדים.</w:t>
      </w: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135643" w:rsidRPr="00861D25" w:rsidTr="000661B2">
        <w:trPr>
          <w:trHeight w:val="1400"/>
        </w:trPr>
        <w:tc>
          <w:tcPr>
            <w:tcW w:w="2988" w:type="dxa"/>
            <w:tcBorders>
              <w:top w:val="nil"/>
              <w:left w:val="nil"/>
              <w:bottom w:val="single" w:sz="4" w:space="0" w:color="auto"/>
              <w:right w:val="nil"/>
            </w:tcBorders>
            <w:vAlign w:val="center"/>
          </w:tcPr>
          <w:p w:rsidR="00135643" w:rsidRPr="00861D25" w:rsidRDefault="00135643" w:rsidP="00861D25">
            <w:pPr>
              <w:jc w:val="center"/>
              <w:rPr>
                <w:rFonts w:ascii="Courier New" w:hAnsi="Courier New"/>
                <w:b/>
                <w:bCs/>
                <w:lang w:eastAsia="he-IL"/>
              </w:rPr>
            </w:pPr>
            <w:r>
              <w:drawing>
                <wp:inline distT="0" distB="0" distL="0" distR="0" wp14:anchorId="660D302A" wp14:editId="75E32B07">
                  <wp:extent cx="978119" cy="567559"/>
                  <wp:effectExtent l="0" t="0" r="0" b="4445"/>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6995" cy="572710"/>
                          </a:xfrm>
                          <a:prstGeom prst="rect">
                            <a:avLst/>
                          </a:prstGeom>
                          <a:noFill/>
                          <a:ln>
                            <a:noFill/>
                          </a:ln>
                        </pic:spPr>
                      </pic:pic>
                    </a:graphicData>
                  </a:graphic>
                </wp:inline>
              </w:drawing>
            </w:r>
          </w:p>
        </w:tc>
        <w:tc>
          <w:tcPr>
            <w:tcW w:w="238" w:type="dxa"/>
            <w:vAlign w:val="center"/>
          </w:tcPr>
          <w:p w:rsidR="00135643" w:rsidRPr="00861D25" w:rsidRDefault="00135643"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135643" w:rsidRPr="00861D25" w:rsidRDefault="00135643" w:rsidP="00861D25">
            <w:pPr>
              <w:jc w:val="center"/>
              <w:rPr>
                <w:rFonts w:ascii="Courier New" w:hAnsi="Courier New"/>
                <w:b/>
                <w:bCs/>
                <w:sz w:val="20"/>
                <w:szCs w:val="20"/>
                <w:rtl/>
                <w:lang w:eastAsia="he-IL"/>
              </w:rPr>
            </w:pPr>
            <w:r>
              <w:drawing>
                <wp:inline distT="0" distB="0" distL="0" distR="0" wp14:anchorId="05E1CA39" wp14:editId="4217AA60">
                  <wp:extent cx="1282700" cy="558165"/>
                  <wp:effectExtent l="0" t="0" r="0"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2700" cy="558165"/>
                          </a:xfrm>
                          <a:prstGeom prst="rect">
                            <a:avLst/>
                          </a:prstGeom>
                          <a:noFill/>
                          <a:ln>
                            <a:noFill/>
                          </a:ln>
                        </pic:spPr>
                      </pic:pic>
                    </a:graphicData>
                  </a:graphic>
                </wp:inline>
              </w:drawing>
            </w:r>
          </w:p>
          <w:p w:rsidR="00135643" w:rsidRPr="00861D25" w:rsidRDefault="00135643" w:rsidP="00861D25">
            <w:pPr>
              <w:jc w:val="center"/>
              <w:rPr>
                <w:rFonts w:ascii="Courier New" w:hAnsi="Courier New"/>
                <w:b/>
                <w:bCs/>
                <w:sz w:val="20"/>
                <w:szCs w:val="20"/>
                <w:lang w:eastAsia="he-IL"/>
              </w:rPr>
            </w:pPr>
          </w:p>
        </w:tc>
        <w:tc>
          <w:tcPr>
            <w:tcW w:w="303" w:type="dxa"/>
            <w:vAlign w:val="center"/>
          </w:tcPr>
          <w:p w:rsidR="00135643" w:rsidRPr="00861D25" w:rsidRDefault="00135643"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135643" w:rsidRPr="00861D25" w:rsidRDefault="00135643"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333500" cy="5334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blip>
                          <a:stretch>
                            <a:fillRect/>
                          </a:stretch>
                        </pic:blipFill>
                        <pic:spPr>
                          <a:xfrm>
                            <a:off x="0" y="0"/>
                            <a:ext cx="1333500" cy="533400"/>
                          </a:xfrm>
                          <a:prstGeom prst="rect">
                            <a:avLst/>
                          </a:prstGeom>
                        </pic:spPr>
                      </pic:pic>
                    </a:graphicData>
                  </a:graphic>
                </wp:inline>
              </w:drawing>
            </w:r>
          </w:p>
        </w:tc>
      </w:tr>
      <w:tr w:rsidR="00135643" w:rsidRPr="00861D25" w:rsidTr="000661B2">
        <w:trPr>
          <w:trHeight w:val="580"/>
        </w:trPr>
        <w:tc>
          <w:tcPr>
            <w:tcW w:w="2988" w:type="dxa"/>
            <w:tcBorders>
              <w:top w:val="single" w:sz="4" w:space="0" w:color="auto"/>
              <w:left w:val="nil"/>
              <w:bottom w:val="nil"/>
              <w:right w:val="nil"/>
            </w:tcBorders>
            <w:vAlign w:val="center"/>
          </w:tcPr>
          <w:p w:rsidR="00135643" w:rsidRPr="00861D25" w:rsidRDefault="00135643"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135643" w:rsidRPr="00861D25" w:rsidRDefault="00135643"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135643" w:rsidRPr="00861D25" w:rsidRDefault="00135643"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135643" w:rsidRPr="00861D25" w:rsidRDefault="00135643"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135643" w:rsidRPr="00861D25" w:rsidRDefault="00135643" w:rsidP="00861D25">
            <w:pPr>
              <w:jc w:val="center"/>
              <w:rPr>
                <w:rFonts w:ascii="Courier New" w:hAnsi="Courier New"/>
                <w:b/>
                <w:bCs/>
                <w:lang w:eastAsia="he-IL"/>
              </w:rPr>
            </w:pPr>
          </w:p>
        </w:tc>
        <w:tc>
          <w:tcPr>
            <w:tcW w:w="303" w:type="dxa"/>
            <w:vAlign w:val="center"/>
          </w:tcPr>
          <w:p w:rsidR="00135643" w:rsidRPr="00861D25" w:rsidRDefault="00135643"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135643" w:rsidRPr="00861D25" w:rsidRDefault="00135643"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135643" w:rsidRPr="00861D25" w:rsidRDefault="00135643" w:rsidP="00861D25">
            <w:pPr>
              <w:jc w:val="center"/>
              <w:rPr>
                <w:rFonts w:ascii="Courier New" w:hAnsi="Courier New"/>
                <w:b/>
                <w:bCs/>
                <w:lang w:eastAsia="he-IL"/>
              </w:rPr>
            </w:pPr>
          </w:p>
        </w:tc>
      </w:tr>
    </w:tbl>
    <w:p w:rsidR="00694556" w:rsidRDefault="00694556" w:rsidP="00135643">
      <w:pPr>
        <w:rPr>
          <w:rFonts w:ascii="Arial" w:hAnsi="Arial"/>
          <w:noProof w:val="0"/>
          <w:rtl/>
        </w:rPr>
      </w:pPr>
    </w:p>
    <w:sectPr w:rsidR="00694556" w:rsidSect="00903896">
      <w:headerReference w:type="default" r:id="rId15"/>
      <w:footerReference w:type="defaul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676" w:rsidRDefault="000F5676">
      <w:r>
        <w:separator/>
      </w:r>
    </w:p>
  </w:endnote>
  <w:endnote w:type="continuationSeparator" w:id="0">
    <w:p w:rsidR="000F5676" w:rsidRDefault="000F5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23C1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23C1A">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676" w:rsidRDefault="000F5676">
      <w:r>
        <w:separator/>
      </w:r>
    </w:p>
  </w:footnote>
  <w:footnote w:type="continuationSeparator" w:id="0">
    <w:p w:rsidR="000F5676" w:rsidRDefault="000F5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 יפו בשבתו כבית-משפט לערעורים אזרחיים</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0F5676" w:rsidP="00926D3D">
          <w:pPr>
            <w:rPr>
              <w:b/>
              <w:bCs/>
              <w:noProof w:val="0"/>
              <w:sz w:val="26"/>
              <w:szCs w:val="26"/>
              <w:rtl/>
            </w:rPr>
          </w:pPr>
          <w:sdt>
            <w:sdtPr>
              <w:rPr>
                <w:rtl/>
              </w:rPr>
              <w:alias w:val="1170"/>
              <w:tag w:val="1170"/>
              <w:id w:val="1272976944"/>
              <w:text w:multiLine="1"/>
            </w:sdtPr>
            <w:sdtEndPr/>
            <w:sdtContent>
              <w:r w:rsidR="00FB7194">
                <w:rPr>
                  <w:b/>
                  <w:bCs/>
                  <w:noProof w:val="0"/>
                  <w:sz w:val="26"/>
                  <w:szCs w:val="26"/>
                  <w:rtl/>
                </w:rPr>
                <w:t>עמ"ש</w:t>
              </w:r>
            </w:sdtContent>
          </w:sdt>
          <w:r w:rsidR="00005C8B" w:rsidRPr="009109C6">
            <w:rPr>
              <w:b/>
              <w:bCs/>
              <w:noProof w:val="0"/>
              <w:sz w:val="26"/>
              <w:szCs w:val="26"/>
              <w:rtl/>
            </w:rPr>
            <w:t xml:space="preserve"> </w:t>
          </w:r>
          <w:sdt>
            <w:sdtPr>
              <w:rPr>
                <w:rtl/>
              </w:rPr>
              <w:alias w:val="1171"/>
              <w:tag w:val="1171"/>
              <w:id w:val="-1944829236"/>
              <w:text w:multiLine="1"/>
            </w:sdtPr>
            <w:sdtEndPr/>
            <w:sdtContent>
              <w:r w:rsidR="00FB7194">
                <w:rPr>
                  <w:b/>
                  <w:bCs/>
                  <w:noProof w:val="0"/>
                  <w:sz w:val="26"/>
                  <w:szCs w:val="26"/>
                  <w:rtl/>
                </w:rPr>
                <w:t>44688-10-22</w:t>
              </w:r>
            </w:sdtContent>
          </w:sdt>
          <w:r w:rsidR="00005C8B" w:rsidRPr="009109C6">
            <w:rPr>
              <w:b/>
              <w:bCs/>
              <w:noProof w:val="0"/>
              <w:sz w:val="26"/>
              <w:szCs w:val="26"/>
              <w:rtl/>
            </w:rPr>
            <w:t xml:space="preserve"> </w:t>
          </w:r>
          <w:sdt>
            <w:sdtPr>
              <w:rPr>
                <w:rtl/>
              </w:rPr>
              <w:alias w:val="1172"/>
              <w:tag w:val="1172"/>
              <w:id w:val="-822969233"/>
              <w:text w:multiLine="1"/>
            </w:sdtPr>
            <w:sdtEndPr/>
            <w:sdtContent>
              <w:r w:rsidR="00926D3D">
                <w:rPr>
                  <w:rFonts w:hint="cs"/>
                  <w:b/>
                  <w:bCs/>
                  <w:noProof w:val="0"/>
                  <w:sz w:val="26"/>
                  <w:szCs w:val="26"/>
                  <w:rtl/>
                </w:rPr>
                <w:t>פלונית</w:t>
              </w:r>
              <w:r w:rsidR="00FB7194">
                <w:rPr>
                  <w:b/>
                  <w:bCs/>
                  <w:noProof w:val="0"/>
                  <w:sz w:val="26"/>
                  <w:szCs w:val="26"/>
                  <w:rtl/>
                </w:rPr>
                <w:t xml:space="preserve"> ואח' נ' </w:t>
              </w:r>
              <w:r w:rsidR="00926D3D">
                <w:rPr>
                  <w:rFonts w:hint="cs"/>
                  <w:b/>
                  <w:bCs/>
                  <w:noProof w:val="0"/>
                  <w:sz w:val="26"/>
                  <w:szCs w:val="26"/>
                  <w:rtl/>
                </w:rPr>
                <w:t>אלמונית</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11 יוני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50E16"/>
    <w:multiLevelType w:val="multilevel"/>
    <w:tmpl w:val="9D24119A"/>
    <w:lvl w:ilvl="0">
      <w:start w:val="1"/>
      <w:numFmt w:val="decimal"/>
      <w:lvlText w:val="%1."/>
      <w:lvlJc w:val="left"/>
      <w:pPr>
        <w:ind w:left="786" w:hanging="360"/>
      </w:pPr>
    </w:lvl>
    <w:lvl w:ilvl="1">
      <w:start w:val="1"/>
      <w:numFmt w:val="decimal"/>
      <w:isLgl/>
      <w:lvlText w:val="%1.%2"/>
      <w:lvlJc w:val="left"/>
      <w:pPr>
        <w:ind w:left="1890" w:hanging="360"/>
      </w:pPr>
    </w:lvl>
    <w:lvl w:ilvl="2">
      <w:start w:val="1"/>
      <w:numFmt w:val="decimal"/>
      <w:isLgl/>
      <w:lvlText w:val="%1.%2.%3"/>
      <w:lvlJc w:val="left"/>
      <w:pPr>
        <w:ind w:left="3420" w:hanging="720"/>
      </w:pPr>
    </w:lvl>
    <w:lvl w:ilvl="3">
      <w:start w:val="1"/>
      <w:numFmt w:val="decimal"/>
      <w:isLgl/>
      <w:lvlText w:val="%1.%2.%3.%4"/>
      <w:lvlJc w:val="left"/>
      <w:pPr>
        <w:ind w:left="4950" w:hanging="1080"/>
      </w:pPr>
    </w:lvl>
    <w:lvl w:ilvl="4">
      <w:start w:val="1"/>
      <w:numFmt w:val="decimal"/>
      <w:isLgl/>
      <w:lvlText w:val="%1.%2.%3.%4.%5"/>
      <w:lvlJc w:val="left"/>
      <w:pPr>
        <w:ind w:left="6120" w:hanging="1080"/>
      </w:pPr>
    </w:lvl>
    <w:lvl w:ilvl="5">
      <w:start w:val="1"/>
      <w:numFmt w:val="decimal"/>
      <w:isLgl/>
      <w:lvlText w:val="%1.%2.%3.%4.%5.%6"/>
      <w:lvlJc w:val="left"/>
      <w:pPr>
        <w:ind w:left="7650" w:hanging="1440"/>
      </w:pPr>
    </w:lvl>
    <w:lvl w:ilvl="6">
      <w:start w:val="1"/>
      <w:numFmt w:val="decimal"/>
      <w:isLgl/>
      <w:lvlText w:val="%1.%2.%3.%4.%5.%6.%7"/>
      <w:lvlJc w:val="left"/>
      <w:pPr>
        <w:ind w:left="8820" w:hanging="1440"/>
      </w:pPr>
    </w:lvl>
    <w:lvl w:ilvl="7">
      <w:start w:val="1"/>
      <w:numFmt w:val="decimal"/>
      <w:isLgl/>
      <w:lvlText w:val="%1.%2.%3.%4.%5.%6.%7.%8"/>
      <w:lvlJc w:val="left"/>
      <w:pPr>
        <w:ind w:left="10350" w:hanging="1800"/>
      </w:pPr>
    </w:lvl>
    <w:lvl w:ilvl="8">
      <w:start w:val="1"/>
      <w:numFmt w:val="decimal"/>
      <w:isLgl/>
      <w:lvlText w:val="%1.%2.%3.%4.%5.%6.%7.%8.%9"/>
      <w:lvlJc w:val="left"/>
      <w:pPr>
        <w:ind w:left="11520" w:hanging="1800"/>
      </w:pPr>
    </w:lvl>
  </w:abstractNum>
  <w:abstractNum w:abstractNumId="1" w15:restartNumberingAfterBreak="0">
    <w:nsid w:val="4F14792E"/>
    <w:multiLevelType w:val="multilevel"/>
    <w:tmpl w:val="5900DA04"/>
    <w:lvl w:ilvl="0">
      <w:start w:val="8"/>
      <w:numFmt w:val="decimal"/>
      <w:lvlText w:val="%1"/>
      <w:lvlJc w:val="left"/>
      <w:pPr>
        <w:ind w:left="360" w:hanging="360"/>
      </w:pPr>
    </w:lvl>
    <w:lvl w:ilvl="1">
      <w:start w:val="1"/>
      <w:numFmt w:val="decimal"/>
      <w:lvlText w:val="%1.%2"/>
      <w:lvlJc w:val="left"/>
      <w:pPr>
        <w:ind w:left="1890" w:hanging="360"/>
      </w:pPr>
    </w:lvl>
    <w:lvl w:ilvl="2">
      <w:start w:val="1"/>
      <w:numFmt w:val="decimal"/>
      <w:lvlText w:val="%1.%2.%3"/>
      <w:lvlJc w:val="left"/>
      <w:pPr>
        <w:ind w:left="3780" w:hanging="720"/>
      </w:pPr>
    </w:lvl>
    <w:lvl w:ilvl="3">
      <w:start w:val="1"/>
      <w:numFmt w:val="decimal"/>
      <w:lvlText w:val="%1.%2.%3.%4"/>
      <w:lvlJc w:val="left"/>
      <w:pPr>
        <w:ind w:left="5310" w:hanging="720"/>
      </w:pPr>
    </w:lvl>
    <w:lvl w:ilvl="4">
      <w:start w:val="1"/>
      <w:numFmt w:val="decimal"/>
      <w:lvlText w:val="%1.%2.%3.%4.%5"/>
      <w:lvlJc w:val="left"/>
      <w:pPr>
        <w:ind w:left="7200" w:hanging="1080"/>
      </w:pPr>
    </w:lvl>
    <w:lvl w:ilvl="5">
      <w:start w:val="1"/>
      <w:numFmt w:val="decimal"/>
      <w:lvlText w:val="%1.%2.%3.%4.%5.%6"/>
      <w:lvlJc w:val="left"/>
      <w:pPr>
        <w:ind w:left="9090" w:hanging="1440"/>
      </w:pPr>
    </w:lvl>
    <w:lvl w:ilvl="6">
      <w:start w:val="1"/>
      <w:numFmt w:val="decimal"/>
      <w:lvlText w:val="%1.%2.%3.%4.%5.%6.%7"/>
      <w:lvlJc w:val="left"/>
      <w:pPr>
        <w:ind w:left="10620" w:hanging="1440"/>
      </w:pPr>
    </w:lvl>
    <w:lvl w:ilvl="7">
      <w:start w:val="1"/>
      <w:numFmt w:val="decimal"/>
      <w:lvlText w:val="%1.%2.%3.%4.%5.%6.%7.%8"/>
      <w:lvlJc w:val="left"/>
      <w:pPr>
        <w:ind w:left="12510" w:hanging="1800"/>
      </w:pPr>
    </w:lvl>
    <w:lvl w:ilvl="8">
      <w:start w:val="1"/>
      <w:numFmt w:val="decimal"/>
      <w:lvlText w:val="%1.%2.%3.%4.%5.%6.%7.%8.%9"/>
      <w:lvlJc w:val="left"/>
      <w:pPr>
        <w:ind w:left="14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2B3"/>
    <w:rsid w:val="00005C8B"/>
    <w:rsid w:val="000564AB"/>
    <w:rsid w:val="00064FBD"/>
    <w:rsid w:val="00096AF7"/>
    <w:rsid w:val="000C3B0F"/>
    <w:rsid w:val="000F0BC8"/>
    <w:rsid w:val="000F5676"/>
    <w:rsid w:val="00107E6D"/>
    <w:rsid w:val="0011194C"/>
    <w:rsid w:val="00116E4D"/>
    <w:rsid w:val="001346CC"/>
    <w:rsid w:val="00135643"/>
    <w:rsid w:val="00144D2A"/>
    <w:rsid w:val="00180519"/>
    <w:rsid w:val="001C4003"/>
    <w:rsid w:val="0020333C"/>
    <w:rsid w:val="002265FF"/>
    <w:rsid w:val="00307A6A"/>
    <w:rsid w:val="00307C40"/>
    <w:rsid w:val="00320433"/>
    <w:rsid w:val="003333B2"/>
    <w:rsid w:val="00333451"/>
    <w:rsid w:val="003506A5"/>
    <w:rsid w:val="0036743F"/>
    <w:rsid w:val="0043125D"/>
    <w:rsid w:val="0043502B"/>
    <w:rsid w:val="004359FB"/>
    <w:rsid w:val="0044462A"/>
    <w:rsid w:val="004C4BDF"/>
    <w:rsid w:val="004D0FA5"/>
    <w:rsid w:val="004D1187"/>
    <w:rsid w:val="004E6E3C"/>
    <w:rsid w:val="00504841"/>
    <w:rsid w:val="00517733"/>
    <w:rsid w:val="005268F6"/>
    <w:rsid w:val="00547DB7"/>
    <w:rsid w:val="005E2E46"/>
    <w:rsid w:val="005E63DC"/>
    <w:rsid w:val="00622BAA"/>
    <w:rsid w:val="00643CA5"/>
    <w:rsid w:val="00671BD5"/>
    <w:rsid w:val="006805C1"/>
    <w:rsid w:val="00694556"/>
    <w:rsid w:val="006C3D60"/>
    <w:rsid w:val="006D201D"/>
    <w:rsid w:val="006E1A53"/>
    <w:rsid w:val="00704EDA"/>
    <w:rsid w:val="007E6115"/>
    <w:rsid w:val="007E66F5"/>
    <w:rsid w:val="007F4609"/>
    <w:rsid w:val="008023D9"/>
    <w:rsid w:val="00820005"/>
    <w:rsid w:val="00825203"/>
    <w:rsid w:val="00896889"/>
    <w:rsid w:val="008A14D8"/>
    <w:rsid w:val="008A44DA"/>
    <w:rsid w:val="008C5714"/>
    <w:rsid w:val="00903896"/>
    <w:rsid w:val="00906F3D"/>
    <w:rsid w:val="009109C6"/>
    <w:rsid w:val="00912B5F"/>
    <w:rsid w:val="00926D3D"/>
    <w:rsid w:val="009C6767"/>
    <w:rsid w:val="00A02D93"/>
    <w:rsid w:val="00A912E2"/>
    <w:rsid w:val="00A94B64"/>
    <w:rsid w:val="00AC3B7B"/>
    <w:rsid w:val="00AC5209"/>
    <w:rsid w:val="00B16329"/>
    <w:rsid w:val="00B80CBD"/>
    <w:rsid w:val="00B86096"/>
    <w:rsid w:val="00B96FA1"/>
    <w:rsid w:val="00BF1908"/>
    <w:rsid w:val="00C22D93"/>
    <w:rsid w:val="00C23C1A"/>
    <w:rsid w:val="00C34482"/>
    <w:rsid w:val="00D33B86"/>
    <w:rsid w:val="00D53924"/>
    <w:rsid w:val="00D55D0C"/>
    <w:rsid w:val="00D677F5"/>
    <w:rsid w:val="00D96D8C"/>
    <w:rsid w:val="00DA6649"/>
    <w:rsid w:val="00E05465"/>
    <w:rsid w:val="00E51415"/>
    <w:rsid w:val="00E54642"/>
    <w:rsid w:val="00EA67C8"/>
    <w:rsid w:val="00EC37E9"/>
    <w:rsid w:val="00F00140"/>
    <w:rsid w:val="00F002A0"/>
    <w:rsid w:val="00F77AB0"/>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styleId="ad">
    <w:name w:val="List Paragraph"/>
    <w:basedOn w:val="a"/>
    <w:uiPriority w:val="34"/>
    <w:qFormat/>
    <w:rsid w:val="00F77A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054522">
      <w:bodyDiv w:val="1"/>
      <w:marLeft w:val="0"/>
      <w:marRight w:val="0"/>
      <w:marTop w:val="0"/>
      <w:marBottom w:val="0"/>
      <w:divBdr>
        <w:top w:val="none" w:sz="0" w:space="0" w:color="auto"/>
        <w:left w:val="none" w:sz="0" w:space="0" w:color="auto"/>
        <w:bottom w:val="none" w:sz="0" w:space="0" w:color="auto"/>
        <w:right w:val="none" w:sz="0" w:space="0" w:color="auto"/>
      </w:divBdr>
    </w:div>
    <w:div w:id="103285025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1073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pn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3.png@01D5D9AF.3D52D3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2.gif@01D5D9AF.3D52D300" TargetMode="External"/><Relationship Id="rId14"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785B86"/>
    <w:rsid w:val="00D408B5"/>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1280</Words>
  <Characters>6403</Characters>
  <Application>Microsoft Office Word</Application>
  <DocSecurity>0</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2023-06-12T06:20:00Z</dcterms:created>
  <dcterms:modified xsi:type="dcterms:W3CDTF">2023-06-12T06:20:00Z</dcterms:modified>
</cp:coreProperties>
</file>